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27DDF">
      <w:pPr>
        <w:pageBreakBefore w:val="0"/>
        <w:kinsoku/>
        <w:wordWrap/>
        <w:overflowPunct/>
        <w:topLinePunct w:val="0"/>
        <w:autoSpaceDE/>
        <w:autoSpaceDN/>
        <w:bidi w:val="0"/>
        <w:adjustRightInd/>
        <w:snapToGrid/>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附件1：</w:t>
      </w:r>
    </w:p>
    <w:p w14:paraId="19FF39EB">
      <w:pPr>
        <w:pageBreakBefore w:val="0"/>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《采购项目服务要求》</w:t>
      </w:r>
    </w:p>
    <w:p w14:paraId="540776E4">
      <w:pPr>
        <w:pStyle w:val="2"/>
        <w:pageBreakBefore w:val="0"/>
        <w:kinsoku/>
        <w:wordWrap/>
        <w:overflowPunct/>
        <w:topLinePunct w:val="0"/>
        <w:autoSpaceDE/>
        <w:autoSpaceDN/>
        <w:bidi w:val="0"/>
        <w:adjustRightInd/>
        <w:snapToGrid/>
        <w:spacing w:line="360" w:lineRule="auto"/>
        <w:ind w:firstLine="562"/>
        <w:rPr>
          <w:rFonts w:hint="eastAsia" w:ascii="宋体" w:hAnsi="宋体" w:eastAsia="宋体" w:cs="宋体"/>
          <w:b/>
          <w:bCs/>
          <w:sz w:val="24"/>
          <w:szCs w:val="24"/>
        </w:rPr>
      </w:pPr>
      <w:bookmarkStart w:id="0" w:name="_Toc27124"/>
      <w:r>
        <w:rPr>
          <w:rFonts w:hint="eastAsia" w:ascii="宋体" w:hAnsi="宋体" w:eastAsia="宋体" w:cs="宋体"/>
          <w:b/>
          <w:bCs/>
          <w:sz w:val="24"/>
          <w:szCs w:val="24"/>
        </w:rPr>
        <w:t>一、学校概况</w:t>
      </w:r>
      <w:bookmarkEnd w:id="0"/>
    </w:p>
    <w:p w14:paraId="3D68D8C7">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广东汕头幼儿师范高等专科学校桑浦山校区（以下简称“校区”）位于金平区大学路326号之8，</w:t>
      </w:r>
      <w:r>
        <w:rPr>
          <w:rFonts w:hint="eastAsia" w:ascii="宋体" w:hAnsi="宋体" w:eastAsia="宋体" w:cs="宋体"/>
          <w:b w:val="0"/>
          <w:bCs w:val="0"/>
          <w:sz w:val="24"/>
          <w:szCs w:val="24"/>
        </w:rPr>
        <w:t>现有建设用地总面积约330亩</w:t>
      </w:r>
      <w:r>
        <w:rPr>
          <w:rFonts w:hint="eastAsia" w:ascii="宋体" w:hAnsi="宋体" w:eastAsia="宋体" w:cs="宋体"/>
          <w:sz w:val="24"/>
          <w:szCs w:val="24"/>
        </w:rPr>
        <w:t>，一期建设用地面积约198亩、二期建设用地面积约132亩（已建用地面积23亩）。</w:t>
      </w:r>
    </w:p>
    <w:p w14:paraId="7A511CDC">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此次校园物业服务范围为一、二期已完成建设用地约221</w:t>
      </w:r>
      <w:r>
        <w:rPr>
          <w:rFonts w:hint="eastAsia" w:ascii="宋体" w:hAnsi="宋体" w:eastAsia="宋体" w:cs="宋体"/>
          <w:sz w:val="24"/>
          <w:szCs w:val="24"/>
          <w:lang w:eastAsia="zh-CN"/>
        </w:rPr>
        <w:t>亩</w:t>
      </w:r>
      <w:r>
        <w:rPr>
          <w:rFonts w:hint="eastAsia" w:ascii="宋体" w:hAnsi="宋体" w:eastAsia="宋体" w:cs="宋体"/>
          <w:sz w:val="24"/>
          <w:szCs w:val="24"/>
        </w:rPr>
        <w:t>的校园保洁绿化和水电管理维护、安全保卫、学生宿舍管理、生活设备设施的管理和维护等；二期储备用地</w:t>
      </w:r>
      <w:r>
        <w:rPr>
          <w:rFonts w:hint="eastAsia" w:ascii="宋体" w:hAnsi="宋体" w:eastAsia="宋体" w:cs="宋体"/>
          <w:sz w:val="24"/>
          <w:szCs w:val="24"/>
          <w:lang w:val="en-US" w:eastAsia="zh-CN"/>
        </w:rPr>
        <w:t>约</w:t>
      </w:r>
      <w:r>
        <w:rPr>
          <w:rFonts w:hint="eastAsia" w:ascii="宋体" w:hAnsi="宋体" w:eastAsia="宋体" w:cs="宋体"/>
          <w:sz w:val="24"/>
          <w:szCs w:val="24"/>
        </w:rPr>
        <w:t>42亩的看管。</w:t>
      </w:r>
    </w:p>
    <w:p w14:paraId="14CD2A92">
      <w:pPr>
        <w:pStyle w:val="2"/>
        <w:pageBreakBefore w:val="0"/>
        <w:kinsoku/>
        <w:wordWrap/>
        <w:overflowPunct/>
        <w:topLinePunct w:val="0"/>
        <w:autoSpaceDE/>
        <w:autoSpaceDN/>
        <w:bidi w:val="0"/>
        <w:adjustRightInd/>
        <w:snapToGrid/>
        <w:spacing w:line="360" w:lineRule="auto"/>
        <w:ind w:firstLine="562"/>
        <w:rPr>
          <w:rFonts w:hint="eastAsia" w:ascii="宋体" w:hAnsi="宋体" w:eastAsia="宋体" w:cs="宋体"/>
          <w:b/>
          <w:bCs/>
          <w:sz w:val="24"/>
          <w:szCs w:val="24"/>
        </w:rPr>
      </w:pPr>
      <w:bookmarkStart w:id="1" w:name="_Toc6069"/>
      <w:r>
        <w:rPr>
          <w:rFonts w:hint="eastAsia" w:ascii="宋体" w:hAnsi="宋体" w:eastAsia="宋体" w:cs="宋体"/>
          <w:b/>
          <w:bCs/>
          <w:sz w:val="24"/>
          <w:szCs w:val="24"/>
        </w:rPr>
        <w:t>二、建筑物情况</w:t>
      </w:r>
      <w:bookmarkEnd w:id="1"/>
    </w:p>
    <w:p w14:paraId="1DE6E641">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桑浦山校区一、二期建设在约221亩土地上规划设置了办公区、教学区、生活区等三个区域，建设了教学楼、实训楼、学生宿舍、食堂、后勤及附属用房等必须配置校舍建筑，以及配套室外运动场、地下人防工程（兼停车场）、园林景观（含广场、道路、绿化、景观）等，总建筑面积约10.78万平方米，具体详见下表： </w:t>
      </w:r>
    </w:p>
    <w:p w14:paraId="3E1BFC78">
      <w:pPr>
        <w:pageBreakBefore w:val="0"/>
        <w:kinsoku/>
        <w:wordWrap/>
        <w:overflowPunct/>
        <w:topLinePunct w:val="0"/>
        <w:autoSpaceDE/>
        <w:autoSpaceDN/>
        <w:bidi w:val="0"/>
        <w:adjustRightInd/>
        <w:snapToGrid/>
        <w:spacing w:line="360" w:lineRule="auto"/>
        <w:ind w:firstLine="200"/>
        <w:jc w:val="center"/>
        <w:rPr>
          <w:rFonts w:hint="eastAsia" w:ascii="宋体" w:hAnsi="宋体" w:eastAsia="宋体" w:cs="宋体"/>
          <w:b/>
          <w:bCs/>
          <w:sz w:val="24"/>
          <w:szCs w:val="24"/>
        </w:rPr>
      </w:pPr>
      <w:r>
        <w:rPr>
          <w:rFonts w:hint="eastAsia" w:ascii="宋体" w:hAnsi="宋体" w:eastAsia="宋体" w:cs="宋体"/>
          <w:b/>
          <w:bCs/>
          <w:sz w:val="24"/>
          <w:szCs w:val="24"/>
        </w:rPr>
        <w:t>学校建筑面积统计表</w:t>
      </w:r>
    </w:p>
    <w:p w14:paraId="52B14B8E">
      <w:pPr>
        <w:pageBreakBefore w:val="0"/>
        <w:kinsoku/>
        <w:wordWrap/>
        <w:overflowPunct/>
        <w:topLinePunct w:val="0"/>
        <w:autoSpaceDE/>
        <w:autoSpaceDN/>
        <w:bidi w:val="0"/>
        <w:adjustRightInd/>
        <w:snapToGrid/>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（单位：平方米）</w:t>
      </w:r>
    </w:p>
    <w:tbl>
      <w:tblPr>
        <w:tblStyle w:val="10"/>
        <w:tblW w:w="8720" w:type="dxa"/>
        <w:tblInd w:w="0" w:type="dxa"/>
        <w:tblLayout w:type="fixed"/>
        <w:tblCellMar>
          <w:top w:w="0" w:type="dxa"/>
          <w:left w:w="0" w:type="dxa"/>
          <w:bottom w:w="0" w:type="dxa"/>
          <w:right w:w="0" w:type="dxa"/>
        </w:tblCellMar>
      </w:tblPr>
      <w:tblGrid>
        <w:gridCol w:w="838"/>
        <w:gridCol w:w="1102"/>
        <w:gridCol w:w="3590"/>
        <w:gridCol w:w="1330"/>
        <w:gridCol w:w="1860"/>
      </w:tblGrid>
      <w:tr w14:paraId="109BDF31">
        <w:tblPrEx>
          <w:tblCellMar>
            <w:top w:w="0" w:type="dxa"/>
            <w:left w:w="0" w:type="dxa"/>
            <w:bottom w:w="0" w:type="dxa"/>
            <w:right w:w="0" w:type="dxa"/>
          </w:tblCellMar>
        </w:tblPrEx>
        <w:trPr>
          <w:trHeight w:val="840" w:hRule="atLeast"/>
          <w:tblHeader/>
        </w:trPr>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AC56C2">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序号</w:t>
            </w:r>
          </w:p>
        </w:tc>
        <w:tc>
          <w:tcPr>
            <w:tcW w:w="11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8937F4">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区域</w:t>
            </w:r>
          </w:p>
        </w:tc>
        <w:tc>
          <w:tcPr>
            <w:tcW w:w="3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345FA3">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建筑名称</w:t>
            </w:r>
          </w:p>
        </w:tc>
        <w:tc>
          <w:tcPr>
            <w:tcW w:w="13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45BB71">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层数</w:t>
            </w:r>
          </w:p>
        </w:tc>
        <w:tc>
          <w:tcPr>
            <w:tcW w:w="18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34C5F9">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rPr>
              <w:t>建筑面积</w:t>
            </w:r>
          </w:p>
        </w:tc>
      </w:tr>
      <w:tr w14:paraId="0E52228B">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6CE067C">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8DB98EA">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教学区</w:t>
            </w:r>
          </w:p>
        </w:tc>
        <w:tc>
          <w:tcPr>
            <w:tcW w:w="359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B8628F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教学楼</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DF65E5">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5094A">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15002.73</w:t>
            </w:r>
          </w:p>
        </w:tc>
      </w:tr>
      <w:tr w14:paraId="179E3089">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003ECF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2</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1A76C1F">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教学区</w:t>
            </w:r>
          </w:p>
        </w:tc>
        <w:tc>
          <w:tcPr>
            <w:tcW w:w="359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EEB9C4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综合教学楼（含地下车库）</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FD84918">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78FD68">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20463.62</w:t>
            </w:r>
          </w:p>
        </w:tc>
      </w:tr>
      <w:tr w14:paraId="28884D24">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AB8C2A0">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3</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D0F3936">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教学区</w:t>
            </w:r>
          </w:p>
        </w:tc>
        <w:tc>
          <w:tcPr>
            <w:tcW w:w="359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C12923A">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实训楼1（含地下车库）</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F808B19">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64F142">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7625.9</w:t>
            </w:r>
          </w:p>
        </w:tc>
      </w:tr>
      <w:tr w14:paraId="300A2B30">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004219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4</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9896A96">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教学区</w:t>
            </w:r>
          </w:p>
        </w:tc>
        <w:tc>
          <w:tcPr>
            <w:tcW w:w="359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7CAAFF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实训楼1副楼</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5CD8EC4">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EACEB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3455.25</w:t>
            </w:r>
          </w:p>
        </w:tc>
      </w:tr>
      <w:tr w14:paraId="5C58DAB0">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12793F3">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5</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6639E01">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教学区</w:t>
            </w:r>
          </w:p>
        </w:tc>
        <w:tc>
          <w:tcPr>
            <w:tcW w:w="359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6B16634">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实训楼2</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EAAAA8F">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5E2FB3">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5728.1</w:t>
            </w:r>
          </w:p>
        </w:tc>
      </w:tr>
      <w:tr w14:paraId="4A231F21">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7CA8B18">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6</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0470CE9">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宿舍区</w:t>
            </w:r>
          </w:p>
        </w:tc>
        <w:tc>
          <w:tcPr>
            <w:tcW w:w="359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0C6FD6C">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学生宿舍1栋</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CF4C33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F30568">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18227.88</w:t>
            </w:r>
          </w:p>
        </w:tc>
      </w:tr>
      <w:tr w14:paraId="6B2502BA">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06DFF3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7</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6E5C796">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宿舍区</w:t>
            </w:r>
          </w:p>
        </w:tc>
        <w:tc>
          <w:tcPr>
            <w:tcW w:w="359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826AC12">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学生宿舍2栋</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EA3FB92">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F6B906">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6172.9</w:t>
            </w:r>
          </w:p>
        </w:tc>
      </w:tr>
      <w:tr w14:paraId="7392395E">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5E69AD3">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8</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ACE50DD">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宿舍区</w:t>
            </w:r>
          </w:p>
        </w:tc>
        <w:tc>
          <w:tcPr>
            <w:tcW w:w="359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80121AC">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学生宿舍3栋</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E75B932">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4E9AB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6604.9</w:t>
            </w:r>
          </w:p>
        </w:tc>
      </w:tr>
      <w:tr w14:paraId="1899AA6B">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BAFB1A6">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9</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E3F19BA">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宿舍区</w:t>
            </w:r>
          </w:p>
        </w:tc>
        <w:tc>
          <w:tcPr>
            <w:tcW w:w="359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5CAC80A">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学生宿舍4栋</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F690ED0">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69F99C">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10627.15</w:t>
            </w:r>
          </w:p>
        </w:tc>
      </w:tr>
      <w:tr w14:paraId="52FB9189">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A2B8F0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10</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1BF12A">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宿舍区</w:t>
            </w: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FFB35F">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宿舍A栋</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91188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7DFA5">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2760</w:t>
            </w:r>
          </w:p>
        </w:tc>
      </w:tr>
      <w:tr w14:paraId="1BAF8AC0">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80B1162">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11</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A6A38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宿舍区</w:t>
            </w: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DD7F50">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宿舍B栋</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69FC4D">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00E073">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3297</w:t>
            </w:r>
          </w:p>
        </w:tc>
      </w:tr>
      <w:tr w14:paraId="3E243D2E">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86A9BAD">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12</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E310F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生活区</w:t>
            </w: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0EBAC1">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食堂</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1F7506">
            <w:pPr>
              <w:pageBreakBefore w:val="0"/>
              <w:kinsoku/>
              <w:wordWrap/>
              <w:overflowPunct/>
              <w:topLinePunct w:val="0"/>
              <w:autoSpaceDE/>
              <w:autoSpaceDN/>
              <w:bidi w:val="0"/>
              <w:adjustRightInd/>
              <w:snapToGrid/>
              <w:spacing w:line="360" w:lineRule="auto"/>
              <w:ind w:firstLine="200"/>
              <w:jc w:val="center"/>
              <w:rPr>
                <w:rFonts w:hint="eastAsia" w:ascii="宋体" w:hAnsi="宋体" w:eastAsia="宋体" w:cs="宋体"/>
                <w:sz w:val="24"/>
                <w:szCs w:val="24"/>
              </w:rPr>
            </w:pPr>
            <w:r>
              <w:rPr>
                <w:rFonts w:hint="eastAsia" w:ascii="宋体" w:hAnsi="宋体" w:eastAsia="宋体" w:cs="宋体"/>
                <w:sz w:val="24"/>
                <w:szCs w:val="24"/>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D94B23">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4750</w:t>
            </w:r>
          </w:p>
        </w:tc>
      </w:tr>
      <w:tr w14:paraId="2CC0BEBF">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F4BE1C9">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13</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2187DA">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生活区</w:t>
            </w: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659A00">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食堂副楼</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D1C9BD">
            <w:pPr>
              <w:pageBreakBefore w:val="0"/>
              <w:kinsoku/>
              <w:wordWrap/>
              <w:overflowPunct/>
              <w:topLinePunct w:val="0"/>
              <w:autoSpaceDE/>
              <w:autoSpaceDN/>
              <w:bidi w:val="0"/>
              <w:adjustRightInd/>
              <w:snapToGrid/>
              <w:spacing w:line="360" w:lineRule="auto"/>
              <w:ind w:firstLine="200"/>
              <w:jc w:val="center"/>
              <w:rPr>
                <w:rFonts w:hint="eastAsia" w:ascii="宋体" w:hAnsi="宋体" w:eastAsia="宋体" w:cs="宋体"/>
                <w:sz w:val="24"/>
                <w:szCs w:val="24"/>
              </w:rPr>
            </w:pPr>
            <w:r>
              <w:rPr>
                <w:rFonts w:hint="eastAsia" w:ascii="宋体" w:hAnsi="宋体" w:eastAsia="宋体" w:cs="宋体"/>
                <w:sz w:val="24"/>
                <w:szCs w:val="24"/>
              </w:rPr>
              <w:t>4</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354C6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1700.92</w:t>
            </w:r>
          </w:p>
        </w:tc>
      </w:tr>
      <w:tr w14:paraId="5BDB8C94">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962691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14</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67ABE5">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生活区</w:t>
            </w: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3A3DB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垃圾间</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5F7BC9">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1CBF1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64</w:t>
            </w:r>
          </w:p>
        </w:tc>
      </w:tr>
      <w:tr w14:paraId="6026FCC4">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0ACDE96">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15</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E3EBA5">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D3F9E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校门、门房</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26C80B">
            <w:pPr>
              <w:pageBreakBefore w:val="0"/>
              <w:kinsoku/>
              <w:wordWrap/>
              <w:overflowPunct/>
              <w:topLinePunct w:val="0"/>
              <w:autoSpaceDE/>
              <w:autoSpaceDN/>
              <w:bidi w:val="0"/>
              <w:adjustRightInd/>
              <w:snapToGrid/>
              <w:spacing w:line="360" w:lineRule="auto"/>
              <w:ind w:firstLine="200"/>
              <w:jc w:val="center"/>
              <w:rPr>
                <w:rFonts w:hint="eastAsia" w:ascii="宋体" w:hAnsi="宋体" w:eastAsia="宋体" w:cs="宋体"/>
                <w:sz w:val="24"/>
                <w:szCs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D51F84">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80</w:t>
            </w:r>
          </w:p>
        </w:tc>
      </w:tr>
      <w:tr w14:paraId="24EB817F">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2BBE808">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16</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C16C4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638C73">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污水处理池</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0FFB83">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307AFF">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54</w:t>
            </w:r>
          </w:p>
        </w:tc>
      </w:tr>
      <w:tr w14:paraId="3C29C903">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9D3BE86">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17</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410F45">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F395D2">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配电设备间</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C76545">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84C295">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240</w:t>
            </w:r>
          </w:p>
        </w:tc>
      </w:tr>
      <w:tr w14:paraId="3D3B5D79">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A114DBC">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18</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DFF05F">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156CDD">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体育器材间</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FE39F8">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02B73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64</w:t>
            </w:r>
          </w:p>
        </w:tc>
      </w:tr>
      <w:tr w14:paraId="4E34D710">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97DB00C">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19</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D7729B">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5491A1">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教学楼室外电梯房及走廊</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63A7DA">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2B3249">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354</w:t>
            </w:r>
          </w:p>
        </w:tc>
      </w:tr>
      <w:tr w14:paraId="0F894EFE">
        <w:tblPrEx>
          <w:tblCellMar>
            <w:top w:w="0" w:type="dxa"/>
            <w:left w:w="0" w:type="dxa"/>
            <w:bottom w:w="0" w:type="dxa"/>
            <w:right w:w="0" w:type="dxa"/>
          </w:tblCellMar>
        </w:tblPrEx>
        <w:trPr>
          <w:trHeight w:val="420" w:hRule="atLeast"/>
        </w:trPr>
        <w:tc>
          <w:tcPr>
            <w:tcW w:w="8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C2B51A9">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20</w:t>
            </w:r>
          </w:p>
        </w:tc>
        <w:tc>
          <w:tcPr>
            <w:tcW w:w="11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E8B0DE">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35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D5DA69">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教学楼室外汽车坡道</w:t>
            </w:r>
          </w:p>
        </w:tc>
        <w:tc>
          <w:tcPr>
            <w:tcW w:w="13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28DCF7">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p>
        </w:tc>
        <w:tc>
          <w:tcPr>
            <w:tcW w:w="18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B1BC14">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sz w:val="24"/>
                <w:szCs w:val="24"/>
              </w:rPr>
              <w:t>608</w:t>
            </w:r>
          </w:p>
        </w:tc>
      </w:tr>
      <w:tr w14:paraId="2C14F751">
        <w:tblPrEx>
          <w:tblCellMar>
            <w:top w:w="0" w:type="dxa"/>
            <w:left w:w="0" w:type="dxa"/>
            <w:bottom w:w="0" w:type="dxa"/>
            <w:right w:w="0" w:type="dxa"/>
          </w:tblCellMar>
        </w:tblPrEx>
        <w:trPr>
          <w:trHeight w:val="420" w:hRule="atLeast"/>
        </w:trPr>
        <w:tc>
          <w:tcPr>
            <w:tcW w:w="686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0D48B6">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合    计</w:t>
            </w:r>
          </w:p>
        </w:tc>
        <w:tc>
          <w:tcPr>
            <w:tcW w:w="1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AB20C4">
            <w:pPr>
              <w:pageBreakBefore w:val="0"/>
              <w:widowControl/>
              <w:kinsoku/>
              <w:wordWrap/>
              <w:overflowPunct/>
              <w:topLinePunct w:val="0"/>
              <w:autoSpaceDE/>
              <w:autoSpaceDN/>
              <w:bidi w:val="0"/>
              <w:adjustRightInd/>
              <w:snapToGrid/>
              <w:spacing w:line="360" w:lineRule="auto"/>
              <w:ind w:firstLine="20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107880.35</w:t>
            </w:r>
          </w:p>
        </w:tc>
      </w:tr>
    </w:tbl>
    <w:p w14:paraId="03C43158">
      <w:pPr>
        <w:pStyle w:val="2"/>
        <w:pageBreakBefore w:val="0"/>
        <w:kinsoku/>
        <w:wordWrap/>
        <w:overflowPunct/>
        <w:topLinePunct w:val="0"/>
        <w:autoSpaceDE/>
        <w:autoSpaceDN/>
        <w:bidi w:val="0"/>
        <w:adjustRightInd/>
        <w:snapToGrid/>
        <w:spacing w:line="360" w:lineRule="auto"/>
        <w:ind w:firstLine="562"/>
        <w:rPr>
          <w:rFonts w:hint="eastAsia" w:ascii="宋体" w:hAnsi="宋体" w:eastAsia="宋体" w:cs="宋体"/>
          <w:b/>
          <w:bCs/>
          <w:sz w:val="24"/>
          <w:szCs w:val="24"/>
        </w:rPr>
      </w:pPr>
      <w:bookmarkStart w:id="2" w:name="_Toc29271"/>
      <w:r>
        <w:rPr>
          <w:rFonts w:hint="eastAsia" w:ascii="宋体" w:hAnsi="宋体" w:eastAsia="宋体" w:cs="宋体"/>
          <w:b/>
          <w:bCs/>
          <w:sz w:val="24"/>
          <w:szCs w:val="24"/>
        </w:rPr>
        <w:t>三、总体服务内容及要求</w:t>
      </w:r>
      <w:bookmarkEnd w:id="2"/>
    </w:p>
    <w:p w14:paraId="18A5A2BC">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（一）以总承包方式（包工人、包物业管理服务的设备工具、包材料、包工人保护用品等），</w:t>
      </w:r>
      <w:r>
        <w:rPr>
          <w:rFonts w:hint="eastAsia" w:ascii="宋体" w:hAnsi="宋体" w:eastAsia="宋体" w:cs="宋体"/>
          <w:b/>
          <w:bCs/>
          <w:sz w:val="24"/>
          <w:szCs w:val="24"/>
        </w:rPr>
        <w:t>在物业管理服务范围内进行房屋与设施设备管理、安防监控与消防设施维护保养、零星维修、校园安全管理、校园绿化保洁、垃圾清运、消杀管理、宿舍管理、会务服务等</w:t>
      </w:r>
      <w:r>
        <w:rPr>
          <w:rFonts w:hint="eastAsia" w:ascii="宋体" w:hAnsi="宋体" w:eastAsia="宋体" w:cs="宋体"/>
          <w:sz w:val="24"/>
          <w:szCs w:val="24"/>
        </w:rPr>
        <w:t>。</w:t>
      </w:r>
    </w:p>
    <w:p w14:paraId="2560CEC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（二）物业管理范围内设备设施需维修或更换等</w:t>
      </w:r>
      <w:r>
        <w:rPr>
          <w:rFonts w:hint="eastAsia" w:ascii="宋体" w:hAnsi="宋体" w:eastAsia="宋体" w:cs="宋体"/>
          <w:b/>
          <w:bCs/>
          <w:sz w:val="24"/>
          <w:szCs w:val="24"/>
        </w:rPr>
        <w:t>单项、单件、单台的材料费用在</w:t>
      </w:r>
      <w:r>
        <w:rPr>
          <w:rFonts w:hint="eastAsia" w:ascii="宋体" w:hAnsi="宋体" w:eastAsia="宋体" w:cs="宋体"/>
          <w:b/>
          <w:bCs/>
          <w:sz w:val="24"/>
          <w:szCs w:val="24"/>
        </w:rPr>
        <w:t>3</w:t>
      </w:r>
      <w:r>
        <w:rPr>
          <w:rFonts w:hint="eastAsia" w:ascii="宋体" w:hAnsi="宋体" w:eastAsia="宋体" w:cs="宋体"/>
          <w:b/>
          <w:bCs/>
          <w:sz w:val="24"/>
          <w:szCs w:val="24"/>
        </w:rPr>
        <w:t>00元及以下</w:t>
      </w:r>
      <w:r>
        <w:rPr>
          <w:rFonts w:hint="eastAsia" w:ascii="宋体" w:hAnsi="宋体" w:eastAsia="宋体" w:cs="宋体"/>
          <w:sz w:val="24"/>
          <w:szCs w:val="24"/>
        </w:rPr>
        <w:t>（单项、单件、单台的材料费用标准按现行属地材料价格，以学校确认为准）的由中标人负责维修、购买及更换等。物业管理范围内设备设施需维修或更换等</w:t>
      </w:r>
      <w:r>
        <w:rPr>
          <w:rFonts w:hint="eastAsia" w:ascii="宋体" w:hAnsi="宋体" w:eastAsia="宋体" w:cs="宋体"/>
          <w:b/>
          <w:bCs/>
          <w:sz w:val="24"/>
          <w:szCs w:val="24"/>
        </w:rPr>
        <w:t>单项、单件、单台的材料费</w:t>
      </w:r>
      <w:r>
        <w:rPr>
          <w:rFonts w:hint="eastAsia" w:ascii="宋体" w:hAnsi="宋体" w:eastAsia="宋体" w:cs="宋体"/>
          <w:b/>
          <w:bCs/>
          <w:sz w:val="24"/>
          <w:szCs w:val="24"/>
        </w:rPr>
        <w:t>300</w:t>
      </w:r>
      <w:r>
        <w:rPr>
          <w:rFonts w:hint="eastAsia" w:ascii="宋体" w:hAnsi="宋体" w:eastAsia="宋体" w:cs="宋体"/>
          <w:b/>
          <w:bCs/>
          <w:sz w:val="24"/>
          <w:szCs w:val="24"/>
        </w:rPr>
        <w:t>元以上的设备设施由中标人及时统计并向学校报告，所需的材料及费用由学校负责，</w:t>
      </w:r>
      <w:r>
        <w:rPr>
          <w:rFonts w:hint="eastAsia" w:ascii="宋体" w:hAnsi="宋体" w:eastAsia="宋体" w:cs="宋体"/>
          <w:sz w:val="24"/>
          <w:szCs w:val="24"/>
        </w:rPr>
        <w:t>中标人应在学校通知期限内完成维修或更换：包括但不限于课室的课桌椅维修、学生宿舍内的照明、给排水设施、门、窗、锁、床、衣柜等（不包括学生食堂、商店）。维修范围界定以学校解释为准，中标人须无条件服从。</w:t>
      </w:r>
    </w:p>
    <w:p w14:paraId="0DE88E6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备用发电等特种大型及专用设备（含电梯）的年</w:t>
      </w:r>
      <w:r>
        <w:rPr>
          <w:rFonts w:hint="eastAsia" w:ascii="宋体" w:hAnsi="宋体" w:eastAsia="宋体" w:cs="宋体"/>
          <w:sz w:val="24"/>
          <w:szCs w:val="24"/>
          <w:lang w:eastAsia="zh-CN"/>
        </w:rPr>
        <w:t>（</w:t>
      </w:r>
      <w:r>
        <w:rPr>
          <w:rFonts w:hint="eastAsia" w:ascii="宋体" w:hAnsi="宋体" w:eastAsia="宋体" w:cs="宋体"/>
          <w:sz w:val="24"/>
          <w:szCs w:val="24"/>
        </w:rPr>
        <w:t>检</w:t>
      </w:r>
      <w:r>
        <w:rPr>
          <w:rFonts w:hint="eastAsia" w:ascii="宋体" w:hAnsi="宋体" w:eastAsia="宋体" w:cs="宋体"/>
          <w:sz w:val="24"/>
          <w:szCs w:val="24"/>
          <w:lang w:eastAsia="zh-CN"/>
        </w:rPr>
        <w:t>）</w:t>
      </w:r>
      <w:r>
        <w:rPr>
          <w:rFonts w:hint="eastAsia" w:ascii="宋体" w:hAnsi="宋体" w:eastAsia="宋体" w:cs="宋体"/>
          <w:sz w:val="24"/>
          <w:szCs w:val="24"/>
        </w:rPr>
        <w:t>审费由中标人负责。</w:t>
      </w:r>
    </w:p>
    <w:p w14:paraId="2DAB68B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trike/>
          <w:sz w:val="24"/>
          <w:szCs w:val="24"/>
        </w:rPr>
      </w:pPr>
      <w:r>
        <w:rPr>
          <w:rFonts w:hint="eastAsia" w:ascii="宋体" w:hAnsi="宋体" w:eastAsia="宋体" w:cs="宋体"/>
          <w:sz w:val="24"/>
          <w:szCs w:val="24"/>
        </w:rPr>
        <w:t>学校免费向中标人提供基本的办公用房1间、后勤仓库及工具用房1间、安保值班用房1间；中标人需自行为人员提供住宿。</w:t>
      </w:r>
    </w:p>
    <w:p w14:paraId="23DD453E">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（三）</w:t>
      </w:r>
      <w:r>
        <w:rPr>
          <w:rFonts w:hint="eastAsia" w:ascii="宋体" w:hAnsi="宋体" w:eastAsia="宋体" w:cs="宋体"/>
          <w:sz w:val="24"/>
          <w:szCs w:val="24"/>
        </w:rPr>
        <w:t xml:space="preserve">应全力推行质量管理体系、环境管理体系和职业健康安全管理体系，利用现代化管理手段不断优化物业管理；制定物业管理各项规章制度，并全面贯彻执行。  </w:t>
      </w:r>
    </w:p>
    <w:p w14:paraId="7AB632A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（四）</w:t>
      </w:r>
      <w:r>
        <w:rPr>
          <w:rFonts w:hint="eastAsia" w:ascii="宋体" w:hAnsi="宋体" w:eastAsia="宋体" w:cs="宋体"/>
          <w:sz w:val="24"/>
          <w:szCs w:val="24"/>
        </w:rPr>
        <w:t>中标人要按需配备人员并相对固定，在拟定物业管理服务方案时，应充分考虑自身实力和管理优势，最大限度满足学校需求。</w:t>
      </w:r>
    </w:p>
    <w:p w14:paraId="3AC2871D">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（五）</w:t>
      </w:r>
      <w:r>
        <w:rPr>
          <w:rFonts w:hint="eastAsia" w:ascii="宋体" w:hAnsi="宋体" w:eastAsia="宋体" w:cs="宋体"/>
          <w:sz w:val="24"/>
          <w:szCs w:val="24"/>
          <w:lang w:val="en-US" w:eastAsia="zh-CN"/>
        </w:rPr>
        <w:t>★</w:t>
      </w:r>
      <w:r>
        <w:rPr>
          <w:rFonts w:hint="eastAsia" w:ascii="宋体" w:hAnsi="宋体" w:eastAsia="宋体" w:cs="宋体"/>
          <w:sz w:val="24"/>
          <w:szCs w:val="24"/>
        </w:rPr>
        <w:t>中标人对所录用人员要严格审查，保证录用人员没有行政拘留和刑事犯罪记录，持有效上岗资格证（物业管理资格证书、高低压电工证、消防员职业资格证书、健康证等）。所有录用的安保人员须在一个月内到属地公安机关办理信息备案和指纹采集；所有人员的档案要到学校备案，人员变动要及时通知学校相关部门，并做好相关手续。</w:t>
      </w:r>
    </w:p>
    <w:p w14:paraId="53C637F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b/>
          <w:bCs/>
          <w:sz w:val="24"/>
          <w:szCs w:val="24"/>
        </w:rPr>
      </w:pPr>
      <w:r>
        <w:rPr>
          <w:rFonts w:hint="eastAsia" w:ascii="宋体" w:hAnsi="宋体" w:eastAsia="宋体" w:cs="宋体"/>
          <w:b/>
          <w:bCs/>
          <w:sz w:val="24"/>
          <w:szCs w:val="24"/>
        </w:rPr>
        <w:t>四、日常物业管理内容和要求</w:t>
      </w:r>
    </w:p>
    <w:p w14:paraId="765E66D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（一）房屋与设施设备管理与维护</w:t>
      </w:r>
    </w:p>
    <w:p w14:paraId="1E9CD52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房屋与共用设施</w:t>
      </w:r>
    </w:p>
    <w:p w14:paraId="01A8DFF4">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（1）服务范围</w:t>
      </w:r>
    </w:p>
    <w:p w14:paraId="46A4576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①房屋建筑物本体及共用设施设备：包括但不限于共用的上下水管道、雨水管；共用照明（含电梯内照明）、天线、加压供水设备配置系统、学生宿舍内设施等（不包括教学用的设施设备、食堂商店内各类设施设备）。</w:t>
      </w:r>
    </w:p>
    <w:p w14:paraId="29B8DF8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②房屋建筑物共用部位：包括但不限于楼盖、屋顶、梁柱、地面、内外墙体和基础等承重结构部位、外墙面、公共部分的内墙面、楼梯间、走廊、通道、门厅、门窗、栏杆、扶手等。</w:t>
      </w:r>
    </w:p>
    <w:p w14:paraId="3463572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（2）</w:t>
      </w:r>
      <w:r>
        <w:rPr>
          <w:rFonts w:hint="eastAsia" w:ascii="宋体" w:hAnsi="宋体" w:eastAsia="宋体" w:cs="宋体"/>
          <w:sz w:val="24"/>
          <w:szCs w:val="24"/>
        </w:rPr>
        <w:t>服务要求</w:t>
      </w:r>
    </w:p>
    <w:p w14:paraId="2E3B488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①按规定建立学校内房屋本体与配套设施等物业管理资料档案、并妥善使用与保管。</w:t>
      </w:r>
    </w:p>
    <w:p w14:paraId="335A798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②建立房屋本体及配套设施维修养护检查制度，检查记录完整。</w:t>
      </w:r>
    </w:p>
    <w:p w14:paraId="30F3F32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③应每年进行1次房屋本体防雷装置安全性能检测。</w:t>
      </w:r>
    </w:p>
    <w:p w14:paraId="08F0700E">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④道路、场地等地面平整、无破损；路面井盖无缺损、无丢失、无松动，井盖标识清晰；大门、围栏等设施保持正常使用功能，无破损、松动；及时完成各项零星维修任务，零星维修合格率100%。</w:t>
      </w:r>
    </w:p>
    <w:p w14:paraId="2F17D74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⑤</w:t>
      </w:r>
      <w:r>
        <w:rPr>
          <w:rFonts w:hint="eastAsia" w:ascii="宋体" w:hAnsi="宋体" w:eastAsia="宋体" w:cs="宋体"/>
          <w:sz w:val="24"/>
          <w:szCs w:val="24"/>
        </w:rPr>
        <w:t>维护公共照明（路灯、庭院灯、楼梯灯等）、水电设施系统等公共设施正常使用，发现故障及时解决维修。小修不过夜，大修24小时内报学校相关部门。</w:t>
      </w:r>
    </w:p>
    <w:p w14:paraId="40AA60BC">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共用设备</w:t>
      </w:r>
    </w:p>
    <w:p w14:paraId="634DF10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（1）服务范围</w:t>
      </w:r>
    </w:p>
    <w:p w14:paraId="40236BA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供配电系统、弱电系统、电梯系统、给排水系统、消防系统等。</w:t>
      </w:r>
    </w:p>
    <w:p w14:paraId="29E50F8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（2）</w:t>
      </w:r>
      <w:r>
        <w:rPr>
          <w:rFonts w:hint="eastAsia" w:ascii="宋体" w:hAnsi="宋体" w:eastAsia="宋体" w:cs="宋体"/>
          <w:sz w:val="24"/>
          <w:szCs w:val="24"/>
        </w:rPr>
        <w:t>服务要求</w:t>
      </w:r>
    </w:p>
    <w:p w14:paraId="53907FAF">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①</w:t>
      </w:r>
      <w:r>
        <w:rPr>
          <w:rFonts w:hint="eastAsia" w:ascii="宋体" w:hAnsi="宋体" w:eastAsia="宋体" w:cs="宋体"/>
          <w:sz w:val="24"/>
          <w:szCs w:val="24"/>
          <w:lang w:val="en-US" w:eastAsia="zh-CN"/>
        </w:rPr>
        <w:t>★</w:t>
      </w:r>
      <w:r>
        <w:rPr>
          <w:rFonts w:hint="eastAsia" w:ascii="宋体" w:hAnsi="宋体" w:eastAsia="宋体" w:cs="宋体"/>
          <w:sz w:val="24"/>
          <w:szCs w:val="24"/>
        </w:rPr>
        <w:t>按照GB 50194的要求对供配电系统进行管理、运行及维护；公共区域的配电箱、电开水箱等易触电区域应制定用电安全防范措施，设置禁止或警示标志；计划性停电应事前通知在校人员，非计划性停电应快速恢复或启用应急电源，并做好应急事件上报及处理工作。</w:t>
      </w:r>
    </w:p>
    <w:p w14:paraId="52319CD7">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如</w:t>
      </w:r>
      <w:r>
        <w:rPr>
          <w:rFonts w:hint="eastAsia" w:ascii="宋体" w:hAnsi="宋体" w:eastAsia="宋体" w:cs="宋体"/>
          <w:sz w:val="24"/>
          <w:szCs w:val="24"/>
        </w:rPr>
        <w:t>需要发电时没能正常发电和送电，按每次扣罚物业费</w:t>
      </w:r>
      <w:r>
        <w:rPr>
          <w:rFonts w:hint="eastAsia" w:ascii="宋体" w:hAnsi="宋体" w:eastAsia="宋体" w:cs="宋体"/>
          <w:sz w:val="24"/>
          <w:szCs w:val="24"/>
        </w:rPr>
        <w:t>2000</w:t>
      </w:r>
      <w:r>
        <w:rPr>
          <w:rFonts w:hint="eastAsia" w:ascii="宋体" w:hAnsi="宋体" w:eastAsia="宋体" w:cs="宋体"/>
          <w:sz w:val="24"/>
          <w:szCs w:val="24"/>
        </w:rPr>
        <w:t>元处理并追究中标人的管理责任。</w:t>
      </w:r>
    </w:p>
    <w:p w14:paraId="545AC80F">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中标人每年暑假（8月20日前）必须对校园配电房及配电系统进行一次全面检修维护，确保备用发电能随时启用，全面检修维护的费用由中标人负责；全面检修维护2天前应通知学校，学校指派专业人员进行监督检查。</w:t>
      </w:r>
    </w:p>
    <w:p w14:paraId="39B9CD2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②门禁、安防、楼控等系统运行正常，现场测试符合要求；设备监控系统、综合布线系统等运行正常。在发现监控故障或损坏时，应及时解决或更换配件维修。</w:t>
      </w:r>
    </w:p>
    <w:p w14:paraId="27FF311F">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③电梯运行平稳，无异响，平层、开关正常；轿厢保持洁净、无异味、体感温度舒适；使用标志、年检标志、紧急救援电话和乘客注意事项应置于轿厢醒目位置；电梯紧急电话系统应保持畅通；电梯故障或遇到险情，应在接到通知后10分钟内到达现场了解情况，并按需求通知维保单位或救援组织，维保单位或救援组织不能超过30分钟到场；电梯维修、保养，应提前通知在校人员，维修时在现场设置提示标识和防护围栏；电梯维保应符合TSG T5002的要求；应每年委托特种设备监督检验单位对电梯全面检测1次，并出具检测报告和核发电梯使用标志。</w:t>
      </w:r>
    </w:p>
    <w:p w14:paraId="71DB4BF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不具备电梯维保资质的公司可委托专业公司负责，</w:t>
      </w:r>
      <w:r>
        <w:rPr>
          <w:rFonts w:hint="eastAsia" w:ascii="宋体" w:hAnsi="宋体" w:eastAsia="宋体" w:cs="宋体"/>
          <w:sz w:val="24"/>
          <w:szCs w:val="24"/>
          <w:lang w:val="en-US" w:eastAsia="zh-CN"/>
        </w:rPr>
        <w:t>经学校同意后，</w:t>
      </w:r>
      <w:r>
        <w:rPr>
          <w:rFonts w:hint="eastAsia" w:ascii="宋体" w:hAnsi="宋体" w:eastAsia="宋体" w:cs="宋体"/>
          <w:sz w:val="24"/>
          <w:szCs w:val="24"/>
        </w:rPr>
        <w:t>双方需签订委托合同并送交学校备案。</w:t>
      </w:r>
    </w:p>
    <w:p w14:paraId="040C4CB4">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④</w:t>
      </w:r>
      <w:r>
        <w:rPr>
          <w:rFonts w:hint="eastAsia" w:ascii="宋体" w:hAnsi="宋体" w:eastAsia="宋体" w:cs="宋体"/>
          <w:sz w:val="24"/>
          <w:szCs w:val="24"/>
          <w:lang w:val="en-US" w:eastAsia="zh-CN"/>
        </w:rPr>
        <w:t>★</w:t>
      </w:r>
      <w:r>
        <w:rPr>
          <w:rFonts w:hint="eastAsia" w:ascii="宋体" w:hAnsi="宋体" w:eastAsia="宋体" w:cs="宋体"/>
          <w:sz w:val="24"/>
          <w:szCs w:val="24"/>
        </w:rPr>
        <w:t>生活饮用水卫生应符合GB 5749的要求；二次供水卫生应符合GB 17051</w:t>
      </w:r>
      <w:r>
        <w:rPr>
          <w:rFonts w:hint="eastAsia" w:ascii="宋体" w:hAnsi="宋体" w:eastAsia="宋体" w:cs="宋体"/>
          <w:sz w:val="24"/>
          <w:szCs w:val="24"/>
          <w:lang w:val="en-US" w:eastAsia="zh-CN"/>
        </w:rPr>
        <w:t>的</w:t>
      </w:r>
      <w:r>
        <w:rPr>
          <w:rFonts w:hint="eastAsia" w:ascii="宋体" w:hAnsi="宋体" w:eastAsia="宋体" w:cs="宋体"/>
          <w:sz w:val="24"/>
          <w:szCs w:val="24"/>
        </w:rPr>
        <w:t>要求；排水、排污管道通畅，无堵塞、外溢现象；管道无明显锈蚀、无滴漏；定期检查生活泵、气压罐、排污泵、水池水箱、管道阀门，定期检查公共卫生间、管道井内的上下水管道、阀门、减压阀，集水坑、污水坑、室内外排水沟渠（井），定期清掏化粪池；计划性停水应事前通知在校人员，非计划性停水应快速恢复或启用备用水源，并做好应急事件上报及处理工作。</w:t>
      </w:r>
    </w:p>
    <w:p w14:paraId="66E7521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故障出现时应立即查明原因并及时排除，做好交接班、维护、维修记录，每学期应负责联系供水检测部门对校园内的用水点（如学生食堂等）进行水质检测一次，第一次水质检测在中标单位进场一个月内完成，</w:t>
      </w:r>
      <w:r>
        <w:rPr>
          <w:rFonts w:hint="eastAsia" w:ascii="宋体" w:hAnsi="宋体" w:eastAsia="宋体" w:cs="宋体"/>
          <w:sz w:val="24"/>
          <w:szCs w:val="24"/>
          <w:lang w:eastAsia="zh-CN"/>
        </w:rPr>
        <w:t>其他</w:t>
      </w:r>
      <w:r>
        <w:rPr>
          <w:rFonts w:hint="eastAsia" w:ascii="宋体" w:hAnsi="宋体" w:eastAsia="宋体" w:cs="宋体"/>
          <w:sz w:val="24"/>
          <w:szCs w:val="24"/>
        </w:rPr>
        <w:t>学期的水质检测在每学期开学后第二周前完成，水质检测的费用由中标人负责。中标人必须确保校园饮用水水质安全达标，如发现水质不达标，应及时上报监管部门，查明原因并立即整改。</w:t>
      </w:r>
    </w:p>
    <w:p w14:paraId="11AF89BC">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每学期</w:t>
      </w:r>
      <w:r>
        <w:rPr>
          <w:rFonts w:hint="eastAsia" w:ascii="宋体" w:hAnsi="宋体" w:eastAsia="宋体" w:cs="宋体"/>
          <w:sz w:val="24"/>
          <w:szCs w:val="24"/>
        </w:rPr>
        <w:t>中标人至少必须对所有供水水池进行清洗一次，保证水质干净安全；清洗水池前应提前2天告知学校，水池清洗完毕后注水前应通知学校进行验收，清洗不干净的责令中标人重新清洗直至干净为止</w:t>
      </w:r>
      <w:r>
        <w:rPr>
          <w:rFonts w:hint="eastAsia" w:ascii="宋体" w:hAnsi="宋体" w:eastAsia="宋体" w:cs="宋体"/>
          <w:sz w:val="24"/>
          <w:szCs w:val="24"/>
        </w:rPr>
        <w:t>；每年至少一次对学校学子湖进行清洗。</w:t>
      </w:r>
    </w:p>
    <w:p w14:paraId="1643A0E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中标人应于每月最后一天对各宿舍及其它区域的水、电表进行抄表，并形成月报表上报学校，并填制水、电费通知单，负责派发催缴通知单、收据，负责水、电费的收取。</w:t>
      </w:r>
    </w:p>
    <w:p w14:paraId="2903980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⑤</w:t>
      </w:r>
      <w:r>
        <w:rPr>
          <w:rFonts w:hint="eastAsia" w:ascii="宋体" w:hAnsi="宋体" w:eastAsia="宋体" w:cs="宋体"/>
          <w:sz w:val="24"/>
          <w:szCs w:val="24"/>
          <w:lang w:val="en-US" w:eastAsia="zh-CN"/>
        </w:rPr>
        <w:t>★</w:t>
      </w:r>
      <w:r>
        <w:rPr>
          <w:rFonts w:hint="eastAsia" w:ascii="宋体" w:hAnsi="宋体" w:eastAsia="宋体" w:cs="宋体"/>
          <w:sz w:val="24"/>
          <w:szCs w:val="24"/>
        </w:rPr>
        <w:t>消防设施平面图、火警疏散示意图按幢设置在楼层明显位置；消防系统各设备设施使用说明清晰，宜使用图文；自动喷水灭火系统运行正常；消火栓箱、防火卷帘、防火门、灭火器、消防水泵运行正常；消防监控系统运行良好，自动和手动报警设施启动正常；消防正压送风、防排烟系统运行正常；消防疏散指示灯工作正常，断路测试正常，消防应急照明和灯光疏散指示标志的备用电源的连续供电时间应符合GB 50016的要求；消防设施巡查应符合GB 25201的要求；消防设备检测应符合GA 503的要求。每月对消防器材、设备设施进行保洁保养，做好器材</w:t>
      </w:r>
      <w:r>
        <w:rPr>
          <w:rFonts w:hint="eastAsia" w:ascii="宋体" w:hAnsi="宋体" w:eastAsia="宋体" w:cs="宋体"/>
          <w:sz w:val="24"/>
          <w:szCs w:val="24"/>
          <w:lang w:eastAsia="zh-CN"/>
        </w:rPr>
        <w:t>管理</w:t>
      </w:r>
      <w:r>
        <w:rPr>
          <w:rFonts w:hint="eastAsia" w:ascii="宋体" w:hAnsi="宋体" w:eastAsia="宋体" w:cs="宋体"/>
          <w:sz w:val="24"/>
          <w:szCs w:val="24"/>
        </w:rPr>
        <w:t>台账。按照规定定期进行消防维保工作并做好记录，发现故障及时处理，组织抢修。</w:t>
      </w:r>
    </w:p>
    <w:p w14:paraId="09EBD8ED">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根据《中华人民共和国消防法》和《广东省实施〈中华人民共和国消防法〉办法》的有关规定，不具备消防设施维修保养资质的物业公司可委托具有消防设施维修保养资质的专业公司负责学校消防设施的维修保养工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经学校同意，</w:t>
      </w:r>
      <w:r>
        <w:rPr>
          <w:rFonts w:hint="eastAsia" w:ascii="宋体" w:hAnsi="宋体" w:eastAsia="宋体" w:cs="宋体"/>
          <w:sz w:val="24"/>
          <w:szCs w:val="24"/>
        </w:rPr>
        <w:t>双方须签订委托合同并送学校备案，同时，须满足以下条件：受托方具有消防设施工程设计有效资质与消防设施工程施工有效资质；委托方与受托方须明确相互之间的责、权、利，以及受托方的服务内容、服务技术要求和服务质量标准。维修保养工作要满足、达到及符合相关规程、规范和规则。</w:t>
      </w:r>
    </w:p>
    <w:p w14:paraId="37EDBF2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（二）秩序维护管理</w:t>
      </w:r>
    </w:p>
    <w:p w14:paraId="36CB512D">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出入与监控管理要求</w:t>
      </w:r>
    </w:p>
    <w:p w14:paraId="30F5F78D">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（1）对出入口的人员、车辆和物品进行管理和登记；</w:t>
      </w:r>
      <w:r>
        <w:rPr>
          <w:rFonts w:hint="eastAsia" w:ascii="宋体" w:hAnsi="宋体" w:eastAsia="宋体" w:cs="宋体"/>
          <w:sz w:val="24"/>
          <w:szCs w:val="24"/>
        </w:rPr>
        <w:t>劝阻大门两侧摊贩及乱停车辆，确保道路畅通、秩序正常。做好大宗物品进出校门的查验手续工作，禁止有毒、易燃易爆等违规物品进入校区。</w:t>
      </w:r>
    </w:p>
    <w:p w14:paraId="6726ABA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（2）监控室24小时值班，监控有效，图像清晰；</w:t>
      </w:r>
    </w:p>
    <w:p w14:paraId="5193C77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发现值班人员不在岗的，每次扣物业费200元；超过1小时不在岗的扣物业费1000元。</w:t>
      </w:r>
    </w:p>
    <w:p w14:paraId="2D57D0A3">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（3）监控影像资料、报警记录应当至少留存30日备查。</w:t>
      </w:r>
    </w:p>
    <w:p w14:paraId="1CEBBDB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巡查管理要求</w:t>
      </w:r>
    </w:p>
    <w:p w14:paraId="1ADA717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（1）合理制定巡查路线，定期评估路线的有效性，保证不间断安保巡逻；</w:t>
      </w:r>
    </w:p>
    <w:p w14:paraId="493FEDD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（2）定时对校园进行安全巡查，对行政楼、实训楼、教学楼、停车场等重点部位及关键设备应增加巡查频次；</w:t>
      </w:r>
    </w:p>
    <w:p w14:paraId="34937A57">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（3）应急工具配备齐全、方便取用；</w:t>
      </w:r>
    </w:p>
    <w:p w14:paraId="18C9286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（4）发现影响教学工作生活秩序的行为应立即劝阻，劝阻无效的立即报告学校；</w:t>
      </w:r>
    </w:p>
    <w:p w14:paraId="781FFE9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（5）发现异常应立即查明情况，注意异常声响、气味，对可疑人员进行询问和劝离；</w:t>
      </w:r>
    </w:p>
    <w:p w14:paraId="7E76B467">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（6）遇紧急情况应及时报告学校有关部门，启动应急预案等应对措施；对异常情况处置进行记录并保存。</w:t>
      </w:r>
    </w:p>
    <w:p w14:paraId="2AF3D39F">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消防管理要求</w:t>
      </w:r>
    </w:p>
    <w:p w14:paraId="670A4C8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（1）保障疏散通道、安全出口、消防车通道畅通；</w:t>
      </w:r>
    </w:p>
    <w:p w14:paraId="1125F79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（2）应实行每日24小时值班制度；</w:t>
      </w:r>
    </w:p>
    <w:p w14:paraId="7897FF98">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发现值班人员不在岗的，每次扣物业费200元；超过1小时不在岗的扣物业费1000元。</w:t>
      </w:r>
    </w:p>
    <w:p w14:paraId="7A355CB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（3）值班人员应通过消防行业特有工种职业技能鉴定，持有职业资格证书；值班人员应熟悉接到报警信号后的处置程序；值班期间每2小时记录1次消防控制室内消防设备的运行情况；</w:t>
      </w:r>
    </w:p>
    <w:p w14:paraId="6C327A9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（4）对火灾报警控制器进行每日检查，检查和交接班记录清晰、准确、完整；</w:t>
      </w:r>
    </w:p>
    <w:p w14:paraId="679525C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（5）每月进行防火检查并建立检查记录；</w:t>
      </w:r>
    </w:p>
    <w:p w14:paraId="5FD63A8C">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（6）从学校实际出发，每月至少要开展一次在岗人员业务培训、紧急预案演练和消防灭火演练并有详细的记录及照片；协助学校做好消防安全讲座、演练工作；每季度至少开展一次防火宣传。</w:t>
      </w:r>
    </w:p>
    <w:p w14:paraId="3890FA1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停车管理要求</w:t>
      </w:r>
    </w:p>
    <w:p w14:paraId="2CD7B13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（1）引导车辆在校园内按规定路线限速行驶；有序疏导校外入口行驶区域的车辆有序进出，保持各入口畅通；及时疏导占道车辆，保持校园道路畅通；</w:t>
      </w:r>
    </w:p>
    <w:p w14:paraId="69B5F81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（2）停车场（库）灯光照明、环境通风等应符合相关规定。</w:t>
      </w:r>
    </w:p>
    <w:p w14:paraId="04FBB99E">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（三）环境管理</w:t>
      </w:r>
    </w:p>
    <w:p w14:paraId="250CAD7D">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rPr>
        <w:t>室内外公共场地（但不包括学生食堂、商店）的保洁、消杀（除四害，包括白蚁、红蚂蚁等）、生活垃圾、校区垃圾的收集清运等</w:t>
      </w:r>
      <w:r>
        <w:rPr>
          <w:rFonts w:hint="eastAsia" w:ascii="宋体" w:hAnsi="宋体" w:eastAsia="宋体" w:cs="宋体"/>
          <w:sz w:val="24"/>
          <w:szCs w:val="24"/>
          <w:lang w:eastAsia="zh-CN"/>
        </w:rPr>
        <w:t>。</w:t>
      </w:r>
    </w:p>
    <w:p w14:paraId="726867B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（1）</w:t>
      </w:r>
      <w:r>
        <w:rPr>
          <w:rFonts w:hint="eastAsia" w:ascii="宋体" w:hAnsi="宋体" w:eastAsia="宋体" w:cs="宋体"/>
          <w:sz w:val="24"/>
          <w:szCs w:val="24"/>
        </w:rPr>
        <w:t>服务范围</w:t>
      </w:r>
    </w:p>
    <w:p w14:paraId="7D2B888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包括但不限于教学楼、实训楼、图书馆的公共区域（不包括教室室内）、楼内走廊、楼梯道、电梯间、卫生间、教师休息室、教学区室外道路、停车场、体育场等公共区域；宿舍区房间外的公共部分、室外道路等公共区域。</w:t>
      </w:r>
    </w:p>
    <w:p w14:paraId="682D0114">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（2）</w:t>
      </w:r>
      <w:r>
        <w:rPr>
          <w:rFonts w:hint="eastAsia" w:ascii="宋体" w:hAnsi="宋体" w:eastAsia="宋体" w:cs="宋体"/>
          <w:sz w:val="24"/>
          <w:szCs w:val="24"/>
        </w:rPr>
        <w:t>服务要求</w:t>
      </w:r>
    </w:p>
    <w:p w14:paraId="218F49BD">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①根据学校要求制订工作制度和标准，并</w:t>
      </w:r>
      <w:r>
        <w:rPr>
          <w:rFonts w:hint="eastAsia" w:ascii="宋体" w:hAnsi="宋体" w:eastAsia="宋体" w:cs="宋体"/>
          <w:sz w:val="24"/>
          <w:szCs w:val="24"/>
          <w:lang w:eastAsia="zh-CN"/>
        </w:rPr>
        <w:t>以此</w:t>
      </w:r>
      <w:r>
        <w:rPr>
          <w:rFonts w:hint="eastAsia" w:ascii="宋体" w:hAnsi="宋体" w:eastAsia="宋体" w:cs="宋体"/>
          <w:sz w:val="24"/>
          <w:szCs w:val="24"/>
        </w:rPr>
        <w:t>对工作质量进行考核；按工作程序对范围内的场所进行定期清扫或不定期清扫保洁，做到按制定标准全天候、全方位保洁；</w:t>
      </w:r>
    </w:p>
    <w:p w14:paraId="2B6D566E">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②每月一次定期、定点、定计划使用专业消毒、杀虫害等药剂进行环保消杀工作；</w:t>
      </w:r>
    </w:p>
    <w:p w14:paraId="1C99774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③楼层公共区域部分指示牌、悬挂牌光洁明亮，通道无杂物；地面、地脚线等无污渍水迹，保持光洁明亮；每月至少清洁一次天花吊顶、送排风口，保证无蜘蛛网和灰尘污渍；接待室、会议室等场所在有会务接待前需立马通风清洁。</w:t>
      </w:r>
    </w:p>
    <w:p w14:paraId="4680C26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④卫生间地面、墙面、门、窗、玻璃镜面、隔板无灰尘污渍和其它杂物；小便器、坐厕、洗手盆无污渍、无积水、无垢、无臭，瓷器光洁明亮；行政楼及时清理，教学区域一天两次。</w:t>
      </w:r>
    </w:p>
    <w:p w14:paraId="54AF597D">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⑤绿化带无杂物及枯枝叶；灯饰、栏杆、指示牌无污渍、水迹及明显灰尘；</w:t>
      </w:r>
    </w:p>
    <w:p w14:paraId="6608E95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⑥垃圾桶无明显灰尘污渍，垃圾存量不超过桶的上缘，每日清理</w:t>
      </w:r>
      <w:r>
        <w:rPr>
          <w:rFonts w:hint="eastAsia" w:ascii="宋体" w:hAnsi="宋体" w:eastAsia="宋体" w:cs="宋体"/>
          <w:sz w:val="24"/>
          <w:szCs w:val="24"/>
          <w:lang w:eastAsia="zh-CN"/>
        </w:rPr>
        <w:t>两次</w:t>
      </w:r>
      <w:r>
        <w:rPr>
          <w:rFonts w:hint="eastAsia" w:ascii="宋体" w:hAnsi="宋体" w:eastAsia="宋体" w:cs="宋体"/>
          <w:sz w:val="24"/>
          <w:szCs w:val="24"/>
        </w:rPr>
        <w:t>以上</w:t>
      </w:r>
      <w:r>
        <w:rPr>
          <w:rFonts w:hint="eastAsia" w:ascii="宋体" w:hAnsi="宋体" w:eastAsia="宋体" w:cs="宋体"/>
          <w:sz w:val="24"/>
          <w:szCs w:val="24"/>
        </w:rPr>
        <w:t>，垃圾不在桶内过夜；垃圾桶每天冲洗一次，无异味，并定期消毒。</w:t>
      </w:r>
    </w:p>
    <w:p w14:paraId="7B1938F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⑦每日上下午放学前</w:t>
      </w:r>
      <w:r>
        <w:rPr>
          <w:rFonts w:hint="eastAsia" w:ascii="宋体" w:hAnsi="宋体" w:eastAsia="宋体" w:cs="宋体"/>
          <w:sz w:val="24"/>
          <w:szCs w:val="24"/>
          <w:lang w:eastAsia="zh-CN"/>
        </w:rPr>
        <w:t>需</w:t>
      </w:r>
      <w:r>
        <w:rPr>
          <w:rFonts w:hint="eastAsia" w:ascii="宋体" w:hAnsi="宋体" w:eastAsia="宋体" w:cs="宋体"/>
          <w:sz w:val="24"/>
          <w:szCs w:val="24"/>
        </w:rPr>
        <w:t>对教学楼进行巡查，清理公共区域的垃圾，关闭门窗及电器设备等，做好水电管理。</w:t>
      </w:r>
    </w:p>
    <w:p w14:paraId="65E056E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⑧新生入学、毕业生离校时需打扫宿舍卫生，</w:t>
      </w:r>
      <w:r>
        <w:rPr>
          <w:rFonts w:hint="eastAsia" w:ascii="宋体" w:hAnsi="宋体" w:eastAsia="宋体" w:cs="宋体"/>
          <w:sz w:val="24"/>
          <w:szCs w:val="24"/>
        </w:rPr>
        <w:t>每年清洗全校风扇一次；做好宿舍清洁管理</w:t>
      </w:r>
      <w:r>
        <w:rPr>
          <w:rFonts w:hint="eastAsia" w:ascii="宋体" w:hAnsi="宋体" w:eastAsia="宋体" w:cs="宋体"/>
          <w:sz w:val="24"/>
          <w:szCs w:val="24"/>
        </w:rPr>
        <w:t>。</w:t>
      </w:r>
    </w:p>
    <w:p w14:paraId="7CD85B68">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⑨每年定期清洗全校所有空调（包括内外机、过滤网）一次。</w:t>
      </w:r>
    </w:p>
    <w:p w14:paraId="6C0B33A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⑩对全校空调进行维修维护保养。</w:t>
      </w:r>
    </w:p>
    <w:p w14:paraId="7EECEC78">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bidi="ar"/>
        </w:rPr>
        <w:t>2.</w:t>
      </w:r>
      <w:r>
        <w:rPr>
          <w:rFonts w:hint="eastAsia" w:ascii="宋体" w:hAnsi="宋体" w:eastAsia="宋体" w:cs="宋体"/>
          <w:sz w:val="24"/>
          <w:szCs w:val="24"/>
        </w:rPr>
        <w:t>绿化管理要求</w:t>
      </w:r>
    </w:p>
    <w:p w14:paraId="6238C26F">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（1）</w:t>
      </w:r>
      <w:r>
        <w:rPr>
          <w:rFonts w:hint="eastAsia" w:ascii="宋体" w:hAnsi="宋体" w:eastAsia="宋体" w:cs="宋体"/>
          <w:sz w:val="24"/>
          <w:szCs w:val="24"/>
        </w:rPr>
        <w:t>各类乔、灌、草等植物长势良好，每月施肥量达标，每日修剪整齐美观；</w:t>
      </w:r>
    </w:p>
    <w:p w14:paraId="36880C7E">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（2）</w:t>
      </w:r>
      <w:r>
        <w:rPr>
          <w:rFonts w:hint="eastAsia" w:ascii="宋体" w:hAnsi="宋体" w:eastAsia="宋体" w:cs="宋体"/>
          <w:sz w:val="24"/>
          <w:szCs w:val="24"/>
        </w:rPr>
        <w:t>绿地内无影响景观的杂物、垃圾等，无乱拴乱挂等现象，无改变用途和破坏、践踏、占用现象；</w:t>
      </w:r>
    </w:p>
    <w:p w14:paraId="1C54146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（3）</w:t>
      </w:r>
      <w:r>
        <w:rPr>
          <w:rFonts w:hint="eastAsia" w:ascii="宋体" w:hAnsi="宋体" w:eastAsia="宋体" w:cs="宋体"/>
          <w:sz w:val="24"/>
          <w:szCs w:val="24"/>
        </w:rPr>
        <w:t>大风、暴雨等恶劣天气来临前，应做好行道树以及浅根类树种的防风修剪及加固；</w:t>
      </w:r>
    </w:p>
    <w:p w14:paraId="609F1944">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（4）</w:t>
      </w:r>
      <w:r>
        <w:rPr>
          <w:rFonts w:hint="eastAsia" w:ascii="宋体" w:hAnsi="宋体" w:eastAsia="宋体" w:cs="宋体"/>
          <w:sz w:val="24"/>
          <w:szCs w:val="24"/>
        </w:rPr>
        <w:t>有害绿化药剂、肥料使用应进行公示，废弃物处理符合相关规定；</w:t>
      </w:r>
    </w:p>
    <w:p w14:paraId="529936D8">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（5）</w:t>
      </w:r>
      <w:r>
        <w:rPr>
          <w:rFonts w:hint="eastAsia" w:ascii="宋体" w:hAnsi="宋体" w:eastAsia="宋体" w:cs="宋体"/>
          <w:sz w:val="24"/>
          <w:szCs w:val="24"/>
        </w:rPr>
        <w:t>景观中可能会对师生构成安全隐患的，如假山、水体等，应设置防护设施及安全提示；</w:t>
      </w:r>
    </w:p>
    <w:p w14:paraId="5AD9E0F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（6）</w:t>
      </w:r>
      <w:r>
        <w:rPr>
          <w:rFonts w:hint="eastAsia" w:ascii="宋体" w:hAnsi="宋体" w:eastAsia="宋体" w:cs="宋体"/>
          <w:sz w:val="24"/>
          <w:szCs w:val="24"/>
        </w:rPr>
        <w:t>建立健全校园绿化档案，对绿化总平面图、宝贵树木登记材料、绿化养护工作记录等进行保管。</w:t>
      </w:r>
    </w:p>
    <w:p w14:paraId="7397940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（四）应急管理</w:t>
      </w:r>
    </w:p>
    <w:p w14:paraId="1915E06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针对各项应急事件制定应急预案，明确各类事故处置流程；成立应急响应小组，负责处置各类突发性事件及各类处置流程演练；每月至少进行一次消防、防台风、群体性事件、治安事件等应急演练。</w:t>
      </w:r>
    </w:p>
    <w:p w14:paraId="774DA00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按学校要求利用空地等设立应急避难场所，设置醒目的应急疏散标识，保障各类紧急疏散通道</w:t>
      </w:r>
      <w:r>
        <w:rPr>
          <w:rFonts w:hint="eastAsia" w:ascii="宋体" w:hAnsi="宋体" w:eastAsia="宋体" w:cs="宋体"/>
          <w:sz w:val="24"/>
          <w:szCs w:val="24"/>
          <w:lang w:eastAsia="zh-CN"/>
        </w:rPr>
        <w:t>畅通</w:t>
      </w:r>
      <w:r>
        <w:rPr>
          <w:rFonts w:hint="eastAsia" w:ascii="宋体" w:hAnsi="宋体" w:eastAsia="宋体" w:cs="宋体"/>
          <w:sz w:val="24"/>
          <w:szCs w:val="24"/>
        </w:rPr>
        <w:t>。</w:t>
      </w:r>
    </w:p>
    <w:p w14:paraId="7800647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根据学校可能发生的安全事故特点和危害，配备必要的应急救援器材、设备和物资，设立台账，并定期检查、维护和保养。</w:t>
      </w:r>
    </w:p>
    <w:p w14:paraId="013A31D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在师生出现突发情况时，协助做好应急处理，如协助外出送医等。</w:t>
      </w:r>
    </w:p>
    <w:p w14:paraId="421AE6E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（五）</w:t>
      </w:r>
      <w:r>
        <w:rPr>
          <w:rFonts w:hint="eastAsia" w:ascii="宋体" w:hAnsi="宋体" w:eastAsia="宋体" w:cs="宋体"/>
          <w:sz w:val="24"/>
          <w:szCs w:val="24"/>
        </w:rPr>
        <w:t>专项服务</w:t>
      </w:r>
    </w:p>
    <w:p w14:paraId="1D18CBE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宿舍管理要求</w:t>
      </w:r>
    </w:p>
    <w:p w14:paraId="5E47A31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各宿舍楼出入口应安排值班人员24小时值班，为教师、学生提供报修、备用钥匙借用等服务；发现值班人员不在岗的，每次扣物业费200元，超过1小时不在岗的扣物业费1000元；</w:t>
      </w:r>
    </w:p>
    <w:p w14:paraId="0C923C6E">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（1）住宿管理</w:t>
      </w:r>
    </w:p>
    <w:p w14:paraId="6124F8D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①学生住宿由宿管部门统一管理，新生入学时，须凭学校开具的住宿凭证，办理完手续后方可入住。</w:t>
      </w:r>
    </w:p>
    <w:p w14:paraId="626A2DE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②宿管员须按照学校通知要求规定，准确无误地按分配的房号床位安排学生入住，不得擅自调换学生的房号与床位。</w:t>
      </w:r>
    </w:p>
    <w:p w14:paraId="1E6F2DA4">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③及时准确地将学生宿舍的房号、床位及住宿学生详细情况（姓名住址等）注册登记备案。</w:t>
      </w:r>
    </w:p>
    <w:p w14:paraId="2A36ADB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④学生毕业或中途休学、退学等，须凭学校开具的退房通知凭证方可为其办理退房手续，同时按要求让其搬离学生宿舍。</w:t>
      </w:r>
    </w:p>
    <w:p w14:paraId="0EB2333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⑤寒、暑假原则上不安排学生留校住宿，确因学习、勤工助学等特殊情况需留校住宿的学生，须经学校主管部门同意批准留宿并开具相关证明后，方可为其办理登记留宿手续。</w:t>
      </w:r>
    </w:p>
    <w:p w14:paraId="6563D5F7">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⑥负责住宿学生的日常点名清查人数工作。</w:t>
      </w:r>
    </w:p>
    <w:p w14:paraId="084944C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⑦负责检查学生宿舍大功率电器的使用并汇报相关部门处理。</w:t>
      </w:r>
    </w:p>
    <w:p w14:paraId="421450C7">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（2）宿舍秩序管理</w:t>
      </w:r>
    </w:p>
    <w:p w14:paraId="206BB94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①严格执行学校宿舍的作息制度，按时打铃熄灯，按时开关学生宿舍大门，大门关闭后不得让学生随便进出。每晚21:30至22:00夜寝前清点学生人数并落实未到位学生去向，对于晚归、晚出的学生，严格履行验证等手续；做好夜间巡查工作，做好巡查记录，发现问题及时上报和处理。</w:t>
      </w:r>
    </w:p>
    <w:p w14:paraId="5FAFFAF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②禁止学生在学生宿舍区打架斗殴、酗酒、高空抛物等行为，禁止学生在学生宿舍区内乱张贴大小字报、广告等。</w:t>
      </w:r>
    </w:p>
    <w:p w14:paraId="7D3AA5B8">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③保持学生宿舍相对和谐安静，对于大声喧哗、吹拉弹唱、跳舞等影响他人作息的行为会及时教育制止。</w:t>
      </w:r>
    </w:p>
    <w:p w14:paraId="4DF4908F">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④任何人不得在学生宿舍区内从事经商广告及其他违法的宣传活动。</w:t>
      </w:r>
    </w:p>
    <w:p w14:paraId="3A5A9C9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⑤学生私用单车、电动摩托车应停放在规定位置，不得乱停乱放。</w:t>
      </w:r>
    </w:p>
    <w:p w14:paraId="4DF8769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⑥严禁学生在学生宿舍留宿本人以外人员。</w:t>
      </w:r>
    </w:p>
    <w:p w14:paraId="4C56557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⑦每天7:40～8:00和</w:t>
      </w:r>
      <w:r>
        <w:rPr>
          <w:rFonts w:hint="eastAsia" w:ascii="宋体" w:hAnsi="宋体" w:eastAsia="宋体" w:cs="宋体"/>
          <w:sz w:val="24"/>
          <w:szCs w:val="24"/>
          <w:lang w:eastAsia="zh-CN" w:bidi="ar"/>
        </w:rPr>
        <w:t>19:20</w:t>
      </w:r>
      <w:r>
        <w:rPr>
          <w:rFonts w:hint="eastAsia" w:ascii="宋体" w:hAnsi="宋体" w:eastAsia="宋体" w:cs="宋体"/>
          <w:sz w:val="24"/>
          <w:szCs w:val="24"/>
          <w:lang w:bidi="ar"/>
        </w:rPr>
        <w:t>前做好巡查工作，8:10和</w:t>
      </w:r>
      <w:r>
        <w:rPr>
          <w:rFonts w:hint="eastAsia" w:ascii="宋体" w:hAnsi="宋体" w:eastAsia="宋体" w:cs="宋体"/>
          <w:sz w:val="24"/>
          <w:szCs w:val="24"/>
          <w:lang w:eastAsia="zh-CN" w:bidi="ar"/>
        </w:rPr>
        <w:t>19:40</w:t>
      </w:r>
      <w:r>
        <w:rPr>
          <w:rFonts w:hint="eastAsia" w:ascii="宋体" w:hAnsi="宋体" w:eastAsia="宋体" w:cs="宋体"/>
          <w:sz w:val="24"/>
          <w:szCs w:val="24"/>
          <w:lang w:bidi="ar"/>
        </w:rPr>
        <w:t>后要巡查宿舍，对未能按时离开宿舍区的学生督促离开，并做好检查登记。</w:t>
      </w:r>
    </w:p>
    <w:p w14:paraId="271A0F8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⑧检查督促学生保持宿舍内整洁、干净，发现问题及时整改，做好记录并向有关科室反映。</w:t>
      </w:r>
    </w:p>
    <w:p w14:paraId="2DD2583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（3）宿舍安全管理</w:t>
      </w:r>
    </w:p>
    <w:p w14:paraId="798F8D0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①提高警惕、注意防火、防盗、防事故，值班期间要按规定要求进行安全巡查，发现问题及时上报处理。</w:t>
      </w:r>
    </w:p>
    <w:p w14:paraId="132204DC">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②严禁学生携带有毒、有害、易燃易爆物品进入学生宿舍区。</w:t>
      </w:r>
    </w:p>
    <w:p w14:paraId="1B21322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③严禁燃放烟花爆竹，严禁焚烧废纸杂物等行为。</w:t>
      </w:r>
    </w:p>
    <w:p w14:paraId="638CFD6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④严禁学生在学生宿舍区内饲养各类宠物。</w:t>
      </w:r>
    </w:p>
    <w:p w14:paraId="32E1EAA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⑤学生私用大宗物品进出宿舍区，应办理登记手续和进行查验。</w:t>
      </w:r>
    </w:p>
    <w:p w14:paraId="1FF2DB4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⑥外来人员来访必须办理验证登记手续，经批准后方能进入宿舍区，并在规定时</w:t>
      </w:r>
      <w:r>
        <w:rPr>
          <w:rFonts w:hint="eastAsia" w:ascii="宋体" w:hAnsi="宋体" w:eastAsia="宋体" w:cs="宋体"/>
          <w:sz w:val="24"/>
          <w:szCs w:val="24"/>
          <w:lang w:eastAsia="zh-CN" w:bidi="ar"/>
        </w:rPr>
        <w:t>间内</w:t>
      </w:r>
      <w:r>
        <w:rPr>
          <w:rFonts w:hint="eastAsia" w:ascii="宋体" w:hAnsi="宋体" w:eastAsia="宋体" w:cs="宋体"/>
          <w:sz w:val="24"/>
          <w:szCs w:val="24"/>
          <w:lang w:bidi="ar"/>
        </w:rPr>
        <w:t>离开宿舍区域。</w:t>
      </w:r>
    </w:p>
    <w:p w14:paraId="42D34D38">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（4）宿舍公共设施的使用管理</w:t>
      </w:r>
    </w:p>
    <w:p w14:paraId="3F46450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①爱护宿舍区的设备设施，按规定时间做好公共区域照明的开关控制，节约能源。</w:t>
      </w:r>
    </w:p>
    <w:p w14:paraId="05D39FD3">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②学生宿舍的公共设施和家具、门锁不准擅自拆除或任意搬动、改动。</w:t>
      </w:r>
    </w:p>
    <w:p w14:paraId="22A7198D">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③发现损坏的设备和设施，及时上报维修。如发现学生故意损坏，要给予赔偿并报学校处理。</w:t>
      </w:r>
    </w:p>
    <w:p w14:paraId="7F8BFD07">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（5）钥匙管理</w:t>
      </w:r>
    </w:p>
    <w:p w14:paraId="3876E85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①配备钥匙：宿舍所有钥匙由学校主管部门统一制作配备，交由宿管员统一分配管理。</w:t>
      </w:r>
    </w:p>
    <w:p w14:paraId="44BBE93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②新生入住后房间的钥匙均由宿管员统一整理、编号、发放，并填写好钥匙发放登记表。</w:t>
      </w:r>
    </w:p>
    <w:p w14:paraId="77EE7868">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③学生毕业离校、走读、调房变更等，钥匙由宿管员负责全部收回。</w:t>
      </w:r>
    </w:p>
    <w:p w14:paraId="128E2C0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④特殊情况下，若学校相关部门或维修人员需临时使用钥匙，必须出具相应的证明，核对证件等手续后，方可借用，并做好登记手续，按时收回。</w:t>
      </w:r>
    </w:p>
    <w:p w14:paraId="733C31A7">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⑤宿管员在交接班时，要做好钥匙的交接、清点工作。</w:t>
      </w:r>
    </w:p>
    <w:p w14:paraId="6749D27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⑥锁具损坏或钥匙丢失，需重新配制钥匙，须经宿管员同意批准，</w:t>
      </w:r>
      <w:r>
        <w:rPr>
          <w:rFonts w:hint="eastAsia" w:ascii="宋体" w:hAnsi="宋体" w:eastAsia="宋体" w:cs="宋体"/>
          <w:sz w:val="24"/>
          <w:szCs w:val="24"/>
          <w:lang w:eastAsia="zh-CN" w:bidi="ar"/>
        </w:rPr>
        <w:t>方可</w:t>
      </w:r>
      <w:r>
        <w:rPr>
          <w:rFonts w:hint="eastAsia" w:ascii="宋体" w:hAnsi="宋体" w:eastAsia="宋体" w:cs="宋体"/>
          <w:sz w:val="24"/>
          <w:szCs w:val="24"/>
          <w:lang w:bidi="ar"/>
        </w:rPr>
        <w:t>重新配备，任何人不得私换锁具、钥匙。</w:t>
      </w:r>
    </w:p>
    <w:p w14:paraId="4328C0F3">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bidi="ar"/>
        </w:rPr>
        <w:t>⑦使用智能电子门锁的宿舍，宿管员负责管理各智能电子门锁备用钥匙及门禁卡，收集各宿舍故障报修信息，并报送学校后勤保卫处联系维修。</w:t>
      </w:r>
    </w:p>
    <w:p w14:paraId="0D7F0BB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bidi="ar"/>
        </w:rPr>
        <w:t>2.</w:t>
      </w:r>
      <w:r>
        <w:rPr>
          <w:rFonts w:hint="eastAsia" w:ascii="宋体" w:hAnsi="宋体" w:eastAsia="宋体" w:cs="宋体"/>
          <w:sz w:val="24"/>
          <w:szCs w:val="24"/>
        </w:rPr>
        <w:t>会务服务</w:t>
      </w:r>
    </w:p>
    <w:p w14:paraId="5DF0178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（1）根据学校的安排，为公共会议室提供会议接待和外出会务服务。负责会</w:t>
      </w:r>
      <w:r>
        <w:rPr>
          <w:rFonts w:hint="eastAsia" w:ascii="宋体" w:hAnsi="宋体" w:eastAsia="宋体" w:cs="宋体"/>
          <w:sz w:val="24"/>
          <w:szCs w:val="24"/>
          <w:lang w:eastAsia="zh-CN"/>
        </w:rPr>
        <w:t>（</w:t>
      </w:r>
      <w:r>
        <w:rPr>
          <w:rFonts w:hint="eastAsia" w:ascii="宋体" w:hAnsi="宋体" w:eastAsia="宋体" w:cs="宋体"/>
          <w:sz w:val="24"/>
          <w:szCs w:val="24"/>
        </w:rPr>
        <w:t>接待</w:t>
      </w:r>
      <w:r>
        <w:rPr>
          <w:rFonts w:hint="eastAsia" w:ascii="宋体" w:hAnsi="宋体" w:eastAsia="宋体" w:cs="宋体"/>
          <w:sz w:val="24"/>
          <w:szCs w:val="24"/>
          <w:lang w:eastAsia="zh-CN"/>
        </w:rPr>
        <w:t>）</w:t>
      </w:r>
      <w:r>
        <w:rPr>
          <w:rFonts w:hint="eastAsia" w:ascii="宋体" w:hAnsi="宋体" w:eastAsia="宋体" w:cs="宋体"/>
          <w:sz w:val="24"/>
          <w:szCs w:val="24"/>
        </w:rPr>
        <w:t>前准备、会</w:t>
      </w:r>
      <w:r>
        <w:rPr>
          <w:rFonts w:hint="eastAsia" w:ascii="宋体" w:hAnsi="宋体" w:eastAsia="宋体" w:cs="宋体"/>
          <w:sz w:val="24"/>
          <w:szCs w:val="24"/>
          <w:lang w:eastAsia="zh-CN"/>
        </w:rPr>
        <w:t>（</w:t>
      </w:r>
      <w:r>
        <w:rPr>
          <w:rFonts w:hint="eastAsia" w:ascii="宋体" w:hAnsi="宋体" w:eastAsia="宋体" w:cs="宋体"/>
          <w:sz w:val="24"/>
          <w:szCs w:val="24"/>
        </w:rPr>
        <w:t>接待</w:t>
      </w:r>
      <w:r>
        <w:rPr>
          <w:rFonts w:hint="eastAsia" w:ascii="宋体" w:hAnsi="宋体" w:eastAsia="宋体" w:cs="宋体"/>
          <w:sz w:val="24"/>
          <w:szCs w:val="24"/>
          <w:lang w:eastAsia="zh-CN"/>
        </w:rPr>
        <w:t>）</w:t>
      </w:r>
      <w:r>
        <w:rPr>
          <w:rFonts w:hint="eastAsia" w:ascii="宋体" w:hAnsi="宋体" w:eastAsia="宋体" w:cs="宋体"/>
          <w:sz w:val="24"/>
          <w:szCs w:val="24"/>
        </w:rPr>
        <w:t>中服务、会</w:t>
      </w:r>
      <w:r>
        <w:rPr>
          <w:rFonts w:hint="eastAsia" w:ascii="宋体" w:hAnsi="宋体" w:eastAsia="宋体" w:cs="宋体"/>
          <w:sz w:val="24"/>
          <w:szCs w:val="24"/>
          <w:lang w:eastAsia="zh-CN"/>
        </w:rPr>
        <w:t>（</w:t>
      </w:r>
      <w:r>
        <w:rPr>
          <w:rFonts w:hint="eastAsia" w:ascii="宋体" w:hAnsi="宋体" w:eastAsia="宋体" w:cs="宋体"/>
          <w:sz w:val="24"/>
          <w:szCs w:val="24"/>
        </w:rPr>
        <w:t>接待</w:t>
      </w:r>
      <w:r>
        <w:rPr>
          <w:rFonts w:hint="eastAsia" w:ascii="宋体" w:hAnsi="宋体" w:eastAsia="宋体" w:cs="宋体"/>
          <w:sz w:val="24"/>
          <w:szCs w:val="24"/>
          <w:lang w:eastAsia="zh-CN"/>
        </w:rPr>
        <w:t>）</w:t>
      </w:r>
      <w:r>
        <w:rPr>
          <w:rFonts w:hint="eastAsia" w:ascii="宋体" w:hAnsi="宋体" w:eastAsia="宋体" w:cs="宋体"/>
          <w:sz w:val="24"/>
          <w:szCs w:val="24"/>
        </w:rPr>
        <w:t>后整理阶段等一系列工作</w:t>
      </w:r>
      <w:r>
        <w:rPr>
          <w:rFonts w:hint="eastAsia" w:ascii="宋体" w:hAnsi="宋体" w:eastAsia="宋体" w:cs="宋体"/>
          <w:sz w:val="24"/>
          <w:szCs w:val="24"/>
        </w:rPr>
        <w:t>。</w:t>
      </w:r>
    </w:p>
    <w:p w14:paraId="5EC2B562">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lang w:bidi="ar"/>
        </w:rPr>
      </w:pPr>
      <w:r>
        <w:rPr>
          <w:rFonts w:hint="eastAsia" w:ascii="宋体" w:hAnsi="宋体" w:eastAsia="宋体" w:cs="宋体"/>
          <w:sz w:val="24"/>
          <w:szCs w:val="24"/>
          <w:lang w:bidi="ar"/>
        </w:rPr>
        <w:t>（2）服务要求：</w:t>
      </w:r>
    </w:p>
    <w:p w14:paraId="6EB564A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①会议桌牌、茶</w:t>
      </w:r>
      <w:r>
        <w:rPr>
          <w:rFonts w:hint="eastAsia" w:ascii="宋体" w:hAnsi="宋体" w:eastAsia="宋体" w:cs="宋体"/>
          <w:sz w:val="24"/>
          <w:szCs w:val="24"/>
        </w:rPr>
        <w:t>水</w:t>
      </w:r>
      <w:r>
        <w:rPr>
          <w:rFonts w:hint="eastAsia" w:ascii="宋体" w:hAnsi="宋体" w:eastAsia="宋体" w:cs="宋体"/>
          <w:sz w:val="24"/>
          <w:szCs w:val="24"/>
        </w:rPr>
        <w:t>等用品</w:t>
      </w:r>
      <w:r>
        <w:rPr>
          <w:rFonts w:hint="eastAsia" w:ascii="宋体" w:hAnsi="宋体" w:eastAsia="宋体" w:cs="宋体"/>
          <w:sz w:val="24"/>
          <w:szCs w:val="24"/>
        </w:rPr>
        <w:t>及投影等调试工作</w:t>
      </w:r>
      <w:r>
        <w:rPr>
          <w:rFonts w:hint="eastAsia" w:ascii="宋体" w:hAnsi="宋体" w:eastAsia="宋体" w:cs="宋体"/>
          <w:sz w:val="24"/>
          <w:szCs w:val="24"/>
        </w:rPr>
        <w:t>应于会前1小时准备就绪；</w:t>
      </w:r>
    </w:p>
    <w:p w14:paraId="3FE3B57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②会务服务人员应仪表端庄、举止文明、知晓相关礼仪；</w:t>
      </w:r>
    </w:p>
    <w:p w14:paraId="1DB5325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③保证会议机密，在会议前要了解该会议的保密程度，以便决定如何参与会议的服务。</w:t>
      </w:r>
    </w:p>
    <w:p w14:paraId="6F563AC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协助学校做好国家省市级考试标准化考场布置、考场安全保卫等工作。</w:t>
      </w:r>
    </w:p>
    <w:p w14:paraId="4B589EC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b/>
          <w:bCs/>
          <w:sz w:val="24"/>
          <w:szCs w:val="24"/>
        </w:rPr>
      </w:pPr>
      <w:r>
        <w:rPr>
          <w:rFonts w:hint="eastAsia" w:ascii="宋体" w:hAnsi="宋体" w:eastAsia="宋体" w:cs="宋体"/>
          <w:b/>
          <w:bCs/>
          <w:sz w:val="24"/>
          <w:szCs w:val="24"/>
        </w:rPr>
        <w:t>五、其他要求</w:t>
      </w:r>
    </w:p>
    <w:p w14:paraId="437A54DF">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t>一</w:t>
      </w:r>
      <w:r>
        <w:rPr>
          <w:rFonts w:hint="eastAsia" w:ascii="宋体" w:hAnsi="宋体" w:eastAsia="宋体" w:cs="宋体"/>
          <w:sz w:val="24"/>
          <w:szCs w:val="24"/>
        </w:rPr>
        <w:t>）中标人在用工方面应按照劳动法等有关要求，与劳动者签订劳动合同，购买社会保险等；物业管理人员的招收条件和考核由中标人确定；要加强员工培训、教育和管理，不断提高服务能力和服务质量。</w:t>
      </w:r>
    </w:p>
    <w:p w14:paraId="51B692C3">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t>二</w:t>
      </w:r>
      <w:r>
        <w:rPr>
          <w:rFonts w:hint="eastAsia" w:ascii="宋体" w:hAnsi="宋体" w:eastAsia="宋体" w:cs="宋体"/>
          <w:sz w:val="24"/>
          <w:szCs w:val="24"/>
        </w:rPr>
        <w:t>）中标人要严格按国家、省、市有关法律法规规定，做好消防、环保等工作，若有违反规定，由中标人承担相应的全部责任。</w:t>
      </w:r>
    </w:p>
    <w:p w14:paraId="64291AB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t>三</w:t>
      </w:r>
      <w:r>
        <w:rPr>
          <w:rFonts w:hint="eastAsia" w:ascii="宋体" w:hAnsi="宋体" w:eastAsia="宋体" w:cs="宋体"/>
          <w:sz w:val="24"/>
          <w:szCs w:val="24"/>
        </w:rPr>
        <w:t>）中标人应自觉接受学校及相关部门的检查、监督和指导，积极配合学校开展</w:t>
      </w:r>
      <w:r>
        <w:rPr>
          <w:rFonts w:hint="eastAsia" w:ascii="宋体" w:hAnsi="宋体" w:eastAsia="宋体" w:cs="宋体"/>
          <w:sz w:val="24"/>
          <w:szCs w:val="24"/>
          <w:lang w:eastAsia="zh-CN"/>
        </w:rPr>
        <w:t>节能</w:t>
      </w:r>
      <w:r>
        <w:rPr>
          <w:rFonts w:hint="eastAsia" w:ascii="宋体" w:hAnsi="宋体" w:eastAsia="宋体" w:cs="宋体"/>
          <w:sz w:val="24"/>
          <w:szCs w:val="24"/>
        </w:rPr>
        <w:t>减排等工作。</w:t>
      </w:r>
    </w:p>
    <w:p w14:paraId="17F3543F">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t>四</w:t>
      </w:r>
      <w:r>
        <w:rPr>
          <w:rFonts w:hint="eastAsia" w:ascii="宋体" w:hAnsi="宋体" w:eastAsia="宋体" w:cs="宋体"/>
          <w:sz w:val="24"/>
          <w:szCs w:val="24"/>
        </w:rPr>
        <w:t>）中标人要做好与供水（含热水）、供电、通讯网络、消防、安保、卫生等有关方面的业务联系和协调工作。</w:t>
      </w:r>
    </w:p>
    <w:p w14:paraId="6CF3C65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t>五</w:t>
      </w:r>
      <w:r>
        <w:rPr>
          <w:rFonts w:hint="eastAsia" w:ascii="宋体" w:hAnsi="宋体" w:eastAsia="宋体" w:cs="宋体"/>
          <w:sz w:val="24"/>
          <w:szCs w:val="24"/>
        </w:rPr>
        <w:t>）签订物业服务合同后，中标人应对校园公共场地、楼宇进行一次全面清洗。</w:t>
      </w:r>
    </w:p>
    <w:p w14:paraId="5F0C95BA">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t>六</w:t>
      </w:r>
      <w:r>
        <w:rPr>
          <w:rFonts w:hint="eastAsia" w:ascii="宋体" w:hAnsi="宋体" w:eastAsia="宋体" w:cs="宋体"/>
          <w:sz w:val="24"/>
          <w:szCs w:val="24"/>
        </w:rPr>
        <w:t>）物业管理服务期限内，中标人除需配备日常使用的工具外，还需承诺投入到物业管理范围内的设施设备包括但不限于：</w:t>
      </w:r>
    </w:p>
    <w:p w14:paraId="00D8DB5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四轮6座巡逻电动车1台。</w:t>
      </w:r>
    </w:p>
    <w:p w14:paraId="1A623E44">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两轮巡逻电动车3台。</w:t>
      </w:r>
    </w:p>
    <w:p w14:paraId="45FB8501">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网络对讲机20台。</w:t>
      </w:r>
    </w:p>
    <w:p w14:paraId="5D2A559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高压清洗机1台。</w:t>
      </w:r>
    </w:p>
    <w:p w14:paraId="3C2231F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5.</w:t>
      </w:r>
      <w:r>
        <w:rPr>
          <w:rFonts w:hint="eastAsia" w:ascii="宋体" w:hAnsi="宋体" w:eastAsia="宋体" w:cs="宋体"/>
          <w:sz w:val="24"/>
          <w:szCs w:val="24"/>
        </w:rPr>
        <w:t>手推式洗地机1台。</w:t>
      </w:r>
    </w:p>
    <w:p w14:paraId="06E3756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电动三轮垃圾转运车1台。</w:t>
      </w:r>
    </w:p>
    <w:p w14:paraId="19279523">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7.</w:t>
      </w:r>
      <w:r>
        <w:rPr>
          <w:rFonts w:hint="eastAsia" w:ascii="宋体" w:hAnsi="宋体" w:eastAsia="宋体" w:cs="宋体"/>
          <w:sz w:val="24"/>
          <w:szCs w:val="24"/>
        </w:rPr>
        <w:t>吸尘吸水机1台。</w:t>
      </w:r>
    </w:p>
    <w:p w14:paraId="1E91307D">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8.</w:t>
      </w:r>
      <w:r>
        <w:rPr>
          <w:rFonts w:hint="eastAsia" w:ascii="宋体" w:hAnsi="宋体" w:eastAsia="宋体" w:cs="宋体"/>
          <w:sz w:val="24"/>
          <w:szCs w:val="24"/>
        </w:rPr>
        <w:t>多用途卫生保洁作业车8台。</w:t>
      </w:r>
    </w:p>
    <w:p w14:paraId="42FDFDE8">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9.</w:t>
      </w:r>
      <w:r>
        <w:rPr>
          <w:rFonts w:hint="eastAsia" w:ascii="宋体" w:hAnsi="宋体" w:eastAsia="宋体" w:cs="宋体"/>
          <w:sz w:val="24"/>
          <w:szCs w:val="24"/>
        </w:rPr>
        <w:t>抽水泵2台。</w:t>
      </w:r>
    </w:p>
    <w:p w14:paraId="25028699">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10.</w:t>
      </w:r>
      <w:r>
        <w:rPr>
          <w:rFonts w:hint="eastAsia" w:ascii="宋体" w:hAnsi="宋体" w:eastAsia="宋体" w:cs="宋体"/>
          <w:sz w:val="24"/>
          <w:szCs w:val="24"/>
        </w:rPr>
        <w:t>绿化洒水车1台。</w:t>
      </w:r>
    </w:p>
    <w:p w14:paraId="6CF262D6">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树叶吹吸机不少于1台。</w:t>
      </w:r>
    </w:p>
    <w:p w14:paraId="29C6A1FB">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12、240L垃圾桶不少于130个，120L垃圾桶不少于40个。</w:t>
      </w:r>
    </w:p>
    <w:p w14:paraId="4440E5F0">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b/>
          <w:bCs/>
          <w:sz w:val="24"/>
          <w:szCs w:val="24"/>
        </w:rPr>
      </w:pPr>
      <w:r>
        <w:rPr>
          <w:rFonts w:hint="eastAsia" w:ascii="宋体" w:hAnsi="宋体" w:eastAsia="宋体" w:cs="宋体"/>
          <w:b/>
          <w:bCs/>
          <w:sz w:val="24"/>
          <w:szCs w:val="24"/>
        </w:rPr>
        <w:t>六、</w:t>
      </w:r>
      <w:bookmarkStart w:id="3" w:name="_GoBack"/>
      <w:r>
        <w:rPr>
          <w:rFonts w:hint="eastAsia" w:ascii="宋体" w:hAnsi="宋体" w:eastAsia="宋体" w:cs="宋体"/>
          <w:b/>
          <w:bCs/>
          <w:sz w:val="24"/>
          <w:szCs w:val="24"/>
        </w:rPr>
        <w:t>人员岗位配置</w:t>
      </w:r>
      <w:bookmarkEnd w:id="3"/>
    </w:p>
    <w:p w14:paraId="6421C515">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rPr>
        <w:t>（一）人员需求</w:t>
      </w:r>
    </w:p>
    <w:p w14:paraId="361D54CF">
      <w:pPr>
        <w:pStyle w:val="4"/>
        <w:pageBreakBefore w:val="0"/>
        <w:kinsoku/>
        <w:wordWrap/>
        <w:overflowPunct/>
        <w:topLinePunct w:val="0"/>
        <w:autoSpaceDE/>
        <w:autoSpaceDN/>
        <w:bidi w:val="0"/>
        <w:adjustRightInd/>
        <w:snapToGrid/>
        <w:spacing w:before="0" w:after="0"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环境管理部</w:t>
      </w:r>
    </w:p>
    <w:tbl>
      <w:tblPr>
        <w:tblStyle w:val="10"/>
        <w:tblW w:w="8317"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873"/>
        <w:gridCol w:w="2373"/>
        <w:gridCol w:w="2863"/>
        <w:gridCol w:w="1356"/>
        <w:gridCol w:w="6"/>
      </w:tblGrid>
      <w:tr w14:paraId="5950EE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6" w:type="dxa"/>
          <w:tblHeader/>
        </w:trPr>
        <w:tc>
          <w:tcPr>
            <w:tcW w:w="8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4B540E">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3246"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E4622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岗位及责任区域</w:t>
            </w:r>
          </w:p>
        </w:tc>
        <w:tc>
          <w:tcPr>
            <w:tcW w:w="286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96F798">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岗位职责</w:t>
            </w:r>
          </w:p>
        </w:tc>
        <w:tc>
          <w:tcPr>
            <w:tcW w:w="13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A5523E">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人员数量</w:t>
            </w:r>
          </w:p>
        </w:tc>
      </w:tr>
      <w:tr w14:paraId="7AF1E1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6" w:type="dxa"/>
        </w:trPr>
        <w:tc>
          <w:tcPr>
            <w:tcW w:w="84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0C9B7F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3246"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5A3B555">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项目负责人</w:t>
            </w:r>
          </w:p>
        </w:tc>
        <w:tc>
          <w:tcPr>
            <w:tcW w:w="286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4704A9C">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负责管理处日常管理工作与安排</w:t>
            </w:r>
          </w:p>
        </w:tc>
        <w:tc>
          <w:tcPr>
            <w:tcW w:w="135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2EAF626">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r>
      <w:tr w14:paraId="39CE42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6" w:type="dxa"/>
        </w:trPr>
        <w:tc>
          <w:tcPr>
            <w:tcW w:w="84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C63DEB6">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c>
          <w:tcPr>
            <w:tcW w:w="3246"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E63BA6C">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保洁主管</w:t>
            </w:r>
          </w:p>
        </w:tc>
        <w:tc>
          <w:tcPr>
            <w:tcW w:w="286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2F36D98">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负责统领安排保洁工作</w:t>
            </w:r>
          </w:p>
        </w:tc>
        <w:tc>
          <w:tcPr>
            <w:tcW w:w="135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FC02813">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r>
      <w:tr w14:paraId="7739F9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6" w:type="dxa"/>
        </w:trPr>
        <w:tc>
          <w:tcPr>
            <w:tcW w:w="84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8CCF00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c>
          <w:tcPr>
            <w:tcW w:w="873" w:type="dxa"/>
            <w:vMerge w:val="restart"/>
            <w:tcBorders>
              <w:top w:val="nil"/>
              <w:left w:val="single" w:color="000000" w:sz="4" w:space="0"/>
              <w:right w:val="single" w:color="000000" w:sz="4" w:space="0"/>
            </w:tcBorders>
            <w:tcMar>
              <w:top w:w="0" w:type="dxa"/>
              <w:left w:w="0" w:type="dxa"/>
              <w:bottom w:w="0" w:type="dxa"/>
              <w:right w:w="0" w:type="dxa"/>
            </w:tcMar>
            <w:vAlign w:val="center"/>
          </w:tcPr>
          <w:p w14:paraId="2921A4F9">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保洁员</w:t>
            </w:r>
          </w:p>
        </w:tc>
        <w:tc>
          <w:tcPr>
            <w:tcW w:w="237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AC2A92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行政楼</w:t>
            </w:r>
          </w:p>
        </w:tc>
        <w:tc>
          <w:tcPr>
            <w:tcW w:w="286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8E09FC0">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负责行政办公室、公共区域的环境管理；负责全校外环境管理及学校门前“三包”。</w:t>
            </w:r>
          </w:p>
        </w:tc>
        <w:tc>
          <w:tcPr>
            <w:tcW w:w="13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5D6D62">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r>
      <w:tr w14:paraId="457AD4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4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63500B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4</w:t>
            </w:r>
          </w:p>
        </w:tc>
        <w:tc>
          <w:tcPr>
            <w:tcW w:w="873" w:type="dxa"/>
            <w:vMerge w:val="continue"/>
            <w:tcBorders>
              <w:left w:val="single" w:color="000000" w:sz="4" w:space="0"/>
              <w:right w:val="single" w:color="000000" w:sz="4" w:space="0"/>
            </w:tcBorders>
            <w:vAlign w:val="center"/>
          </w:tcPr>
          <w:p w14:paraId="3A683DD3">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237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5A52B37">
            <w:pPr>
              <w:pStyle w:val="4"/>
              <w:pageBreakBefore w:val="0"/>
              <w:numPr>
                <w:ilvl w:val="0"/>
                <w:numId w:val="1"/>
              </w:numPr>
              <w:kinsoku/>
              <w:wordWrap/>
              <w:overflowPunct/>
              <w:topLinePunct w:val="0"/>
              <w:autoSpaceDE/>
              <w:autoSpaceDN/>
              <w:bidi w:val="0"/>
              <w:adjustRightInd/>
              <w:snapToGrid/>
              <w:spacing w:before="0" w:after="0" w:line="360" w:lineRule="auto"/>
              <w:ind w:left="0" w:firstLineChars="0"/>
              <w:jc w:val="center"/>
              <w:rPr>
                <w:rFonts w:hint="eastAsia" w:ascii="宋体" w:hAnsi="宋体" w:eastAsia="宋体" w:cs="宋体"/>
                <w:sz w:val="24"/>
                <w:szCs w:val="24"/>
              </w:rPr>
            </w:pPr>
            <w:r>
              <w:rPr>
                <w:rFonts w:hint="eastAsia" w:ascii="宋体" w:hAnsi="宋体" w:eastAsia="宋体" w:cs="宋体"/>
                <w:sz w:val="24"/>
                <w:szCs w:val="24"/>
              </w:rPr>
              <w:t>实训楼1</w:t>
            </w:r>
          </w:p>
          <w:p w14:paraId="471C798E">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实训楼2</w:t>
            </w:r>
          </w:p>
          <w:p w14:paraId="5278DC48">
            <w:pPr>
              <w:pStyle w:val="4"/>
              <w:pageBreakBefore w:val="0"/>
              <w:numPr>
                <w:ilvl w:val="0"/>
                <w:numId w:val="1"/>
              </w:numPr>
              <w:kinsoku/>
              <w:wordWrap/>
              <w:overflowPunct/>
              <w:topLinePunct w:val="0"/>
              <w:autoSpaceDE/>
              <w:autoSpaceDN/>
              <w:bidi w:val="0"/>
              <w:adjustRightInd/>
              <w:snapToGrid/>
              <w:spacing w:before="0" w:after="0" w:line="360" w:lineRule="auto"/>
              <w:ind w:left="0" w:firstLineChars="0"/>
              <w:jc w:val="center"/>
              <w:rPr>
                <w:rFonts w:hint="eastAsia" w:ascii="宋体" w:hAnsi="宋体" w:eastAsia="宋体" w:cs="宋体"/>
                <w:sz w:val="24"/>
                <w:szCs w:val="24"/>
              </w:rPr>
            </w:pPr>
            <w:r>
              <w:rPr>
                <w:rFonts w:hint="eastAsia" w:ascii="宋体" w:hAnsi="宋体" w:eastAsia="宋体" w:cs="宋体"/>
                <w:sz w:val="24"/>
                <w:szCs w:val="24"/>
              </w:rPr>
              <w:t>学生宿舍楼1</w:t>
            </w:r>
          </w:p>
          <w:p w14:paraId="0C77BF7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学生宿舍2</w:t>
            </w:r>
          </w:p>
          <w:p w14:paraId="1F9752A8">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学生宿舍3</w:t>
            </w:r>
          </w:p>
          <w:p w14:paraId="378C0A56">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学生宿舍4</w:t>
            </w:r>
          </w:p>
          <w:p w14:paraId="1A74BB46">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宿舍A</w:t>
            </w:r>
          </w:p>
          <w:p w14:paraId="1DB5E506">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宿舍B</w:t>
            </w:r>
          </w:p>
        </w:tc>
        <w:tc>
          <w:tcPr>
            <w:tcW w:w="286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61FCD93">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负责公共区域的环境管理。</w:t>
            </w:r>
          </w:p>
        </w:tc>
        <w:tc>
          <w:tcPr>
            <w:tcW w:w="1362"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D1E7BA8">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9</w:t>
            </w:r>
          </w:p>
        </w:tc>
      </w:tr>
      <w:tr w14:paraId="68FC97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4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DAC2F3F">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5</w:t>
            </w:r>
          </w:p>
        </w:tc>
        <w:tc>
          <w:tcPr>
            <w:tcW w:w="873" w:type="dxa"/>
            <w:vMerge w:val="continue"/>
            <w:tcBorders>
              <w:left w:val="single" w:color="000000" w:sz="4" w:space="0"/>
              <w:right w:val="single" w:color="000000" w:sz="4" w:space="0"/>
            </w:tcBorders>
            <w:vAlign w:val="center"/>
          </w:tcPr>
          <w:p w14:paraId="519D710E">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237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B550D93">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实验室</w:t>
            </w:r>
          </w:p>
        </w:tc>
        <w:tc>
          <w:tcPr>
            <w:tcW w:w="286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8F69E71">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负责实验室的环境管理。</w:t>
            </w:r>
          </w:p>
        </w:tc>
        <w:tc>
          <w:tcPr>
            <w:tcW w:w="1362"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82906F4">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4</w:t>
            </w:r>
          </w:p>
        </w:tc>
      </w:tr>
      <w:tr w14:paraId="2DA479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4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D4A3A2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6</w:t>
            </w:r>
          </w:p>
        </w:tc>
        <w:tc>
          <w:tcPr>
            <w:tcW w:w="873" w:type="dxa"/>
            <w:vMerge w:val="continue"/>
            <w:tcBorders>
              <w:left w:val="single" w:color="000000" w:sz="4" w:space="0"/>
              <w:right w:val="single" w:color="000000" w:sz="4" w:space="0"/>
            </w:tcBorders>
            <w:vAlign w:val="center"/>
          </w:tcPr>
          <w:p w14:paraId="63A649F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237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D70EB29">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教学楼</w:t>
            </w:r>
          </w:p>
          <w:p w14:paraId="6FFA80F2">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286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831CA42">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负责教室及公共区域的环境管理。</w:t>
            </w:r>
          </w:p>
        </w:tc>
        <w:tc>
          <w:tcPr>
            <w:tcW w:w="1362"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9293A0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r>
      <w:tr w14:paraId="672473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4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9D27A94">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7</w:t>
            </w:r>
          </w:p>
        </w:tc>
        <w:tc>
          <w:tcPr>
            <w:tcW w:w="873" w:type="dxa"/>
            <w:vMerge w:val="continue"/>
            <w:tcBorders>
              <w:left w:val="single" w:color="000000" w:sz="4" w:space="0"/>
              <w:right w:val="single" w:color="000000" w:sz="4" w:space="0"/>
            </w:tcBorders>
            <w:vAlign w:val="center"/>
          </w:tcPr>
          <w:p w14:paraId="3AB5338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237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48722AD">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综合教学楼（含地库）</w:t>
            </w:r>
          </w:p>
        </w:tc>
        <w:tc>
          <w:tcPr>
            <w:tcW w:w="286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F4A361D">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负责教室及公共区域的环境管理。</w:t>
            </w:r>
          </w:p>
        </w:tc>
        <w:tc>
          <w:tcPr>
            <w:tcW w:w="1362"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D0AEC9F">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r>
      <w:tr w14:paraId="4F82DD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4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C7AF907">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8</w:t>
            </w:r>
          </w:p>
        </w:tc>
        <w:tc>
          <w:tcPr>
            <w:tcW w:w="873" w:type="dxa"/>
            <w:vMerge w:val="continue"/>
            <w:tcBorders>
              <w:left w:val="single" w:color="000000" w:sz="4" w:space="0"/>
              <w:bottom w:val="single" w:color="000000" w:sz="4" w:space="0"/>
              <w:right w:val="single" w:color="000000" w:sz="4" w:space="0"/>
            </w:tcBorders>
            <w:vAlign w:val="center"/>
          </w:tcPr>
          <w:p w14:paraId="14B069EC">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237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EDC3742">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柏宝大厦7楼</w:t>
            </w:r>
          </w:p>
        </w:tc>
        <w:tc>
          <w:tcPr>
            <w:tcW w:w="2863"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140C57A">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负责教室、行政办公室、公共区域的环境管理。</w:t>
            </w:r>
          </w:p>
        </w:tc>
        <w:tc>
          <w:tcPr>
            <w:tcW w:w="1362"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CE4C5BD">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兼</w:t>
            </w:r>
          </w:p>
        </w:tc>
      </w:tr>
      <w:tr w14:paraId="5972B7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6" w:type="dxa"/>
          <w:trHeight w:val="90" w:hRule="atLeast"/>
        </w:trPr>
        <w:tc>
          <w:tcPr>
            <w:tcW w:w="8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874076">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9</w:t>
            </w:r>
          </w:p>
        </w:tc>
        <w:tc>
          <w:tcPr>
            <w:tcW w:w="8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C0CBD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绿化养护人员</w:t>
            </w:r>
          </w:p>
        </w:tc>
        <w:tc>
          <w:tcPr>
            <w:tcW w:w="5236"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5953FE">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对校园内绿化苗木进行淋水、施肥、喷药，并做好维护记录。每天至少淋水两次；每月至少施肥一次。经常性进行草坪的除杂草工作。对枯萎花、木、草及时进行清除及补苗。草坪要定期做好浇水灌溉、草坪修剪、施肥、清除杂草、补植、病虫害防治工作。</w:t>
            </w:r>
          </w:p>
        </w:tc>
        <w:tc>
          <w:tcPr>
            <w:tcW w:w="13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F82365">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r>
      <w:tr w14:paraId="3563B5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gridAfter w:val="1"/>
          <w:wAfter w:w="6" w:type="dxa"/>
        </w:trPr>
        <w:tc>
          <w:tcPr>
            <w:tcW w:w="84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0FF32D7">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6109" w:type="dxa"/>
            <w:gridSpan w:val="3"/>
            <w:tcBorders>
              <w:top w:val="nil"/>
              <w:left w:val="nil"/>
              <w:bottom w:val="single" w:color="000000" w:sz="4" w:space="0"/>
              <w:right w:val="single" w:color="000000" w:sz="4" w:space="0"/>
            </w:tcBorders>
            <w:tcMar>
              <w:top w:w="0" w:type="dxa"/>
              <w:left w:w="0" w:type="dxa"/>
              <w:bottom w:w="0" w:type="dxa"/>
              <w:right w:w="0" w:type="dxa"/>
            </w:tcMar>
            <w:vAlign w:val="center"/>
          </w:tcPr>
          <w:p w14:paraId="794E1487">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合计</w:t>
            </w:r>
          </w:p>
        </w:tc>
        <w:tc>
          <w:tcPr>
            <w:tcW w:w="1356" w:type="dxa"/>
            <w:tcBorders>
              <w:top w:val="nil"/>
              <w:left w:val="nil"/>
              <w:bottom w:val="single" w:color="000000" w:sz="4" w:space="0"/>
              <w:right w:val="single" w:color="000000" w:sz="4" w:space="0"/>
            </w:tcBorders>
            <w:tcMar>
              <w:top w:w="0" w:type="dxa"/>
              <w:left w:w="0" w:type="dxa"/>
              <w:bottom w:w="0" w:type="dxa"/>
              <w:right w:w="0" w:type="dxa"/>
            </w:tcMar>
            <w:vAlign w:val="center"/>
          </w:tcPr>
          <w:p w14:paraId="4376889D">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24</w:t>
            </w:r>
          </w:p>
        </w:tc>
      </w:tr>
    </w:tbl>
    <w:p w14:paraId="4D32ACAC">
      <w:pPr>
        <w:pStyle w:val="4"/>
        <w:pageBreakBefore w:val="0"/>
        <w:kinsoku/>
        <w:wordWrap/>
        <w:overflowPunct/>
        <w:topLinePunct w:val="0"/>
        <w:autoSpaceDE/>
        <w:autoSpaceDN/>
        <w:bidi w:val="0"/>
        <w:adjustRightInd/>
        <w:snapToGrid/>
        <w:spacing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秩序管理部</w:t>
      </w:r>
    </w:p>
    <w:tbl>
      <w:tblPr>
        <w:tblStyle w:val="10"/>
        <w:tblW w:w="848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805"/>
        <w:gridCol w:w="1718"/>
        <w:gridCol w:w="3075"/>
        <w:gridCol w:w="1234"/>
        <w:gridCol w:w="914"/>
      </w:tblGrid>
      <w:tr w14:paraId="6AD295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blHeader/>
        </w:trPr>
        <w:tc>
          <w:tcPr>
            <w:tcW w:w="7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17192E">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523"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2DB342">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岗位及责任区域</w:t>
            </w:r>
          </w:p>
        </w:tc>
        <w:tc>
          <w:tcPr>
            <w:tcW w:w="30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42B1A3">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岗位职责</w:t>
            </w:r>
          </w:p>
        </w:tc>
        <w:tc>
          <w:tcPr>
            <w:tcW w:w="12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147DF6">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配置人数</w:t>
            </w:r>
          </w:p>
        </w:tc>
        <w:tc>
          <w:tcPr>
            <w:tcW w:w="9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3127D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备注</w:t>
            </w:r>
          </w:p>
        </w:tc>
      </w:tr>
      <w:tr w14:paraId="2858F3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BC72856">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2523"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088C46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保安主管</w:t>
            </w:r>
          </w:p>
        </w:tc>
        <w:tc>
          <w:tcPr>
            <w:tcW w:w="307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9E41D61">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负责带班并统筹协调工作</w:t>
            </w:r>
          </w:p>
        </w:tc>
        <w:tc>
          <w:tcPr>
            <w:tcW w:w="123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F47EA48">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9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E9BF34">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r>
      <w:tr w14:paraId="22FA47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7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776C60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c>
          <w:tcPr>
            <w:tcW w:w="805" w:type="dxa"/>
            <w:tcBorders>
              <w:top w:val="nil"/>
              <w:left w:val="single" w:color="000000" w:sz="4" w:space="0"/>
              <w:bottom w:val="single" w:color="000000" w:sz="4" w:space="0"/>
              <w:right w:val="single" w:color="000000" w:sz="4" w:space="0"/>
            </w:tcBorders>
            <w:vAlign w:val="center"/>
          </w:tcPr>
          <w:p w14:paraId="229857A9">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门岗</w:t>
            </w:r>
          </w:p>
        </w:tc>
        <w:tc>
          <w:tcPr>
            <w:tcW w:w="171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967A2C5">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大门（前、后门）</w:t>
            </w:r>
          </w:p>
        </w:tc>
        <w:tc>
          <w:tcPr>
            <w:tcW w:w="307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7DC3822">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大门岗是学校的一个窗口，要树立学校的良好形象，做到文明执勤、礼貌待人</w:t>
            </w:r>
            <w:r>
              <w:rPr>
                <w:rFonts w:hint="eastAsia" w:ascii="宋体" w:hAnsi="宋体" w:eastAsia="宋体" w:cs="宋体"/>
                <w:sz w:val="24"/>
                <w:szCs w:val="24"/>
                <w:lang w:eastAsia="zh-CN"/>
              </w:rPr>
              <w:t>，</w:t>
            </w:r>
            <w:r>
              <w:rPr>
                <w:rFonts w:hint="eastAsia" w:ascii="宋体" w:hAnsi="宋体" w:eastAsia="宋体" w:cs="宋体"/>
                <w:sz w:val="24"/>
                <w:szCs w:val="24"/>
              </w:rPr>
              <w:t>耐心讲解和引导，标准、规范</w:t>
            </w:r>
            <w:r>
              <w:rPr>
                <w:rFonts w:hint="eastAsia" w:ascii="宋体" w:hAnsi="宋体" w:eastAsia="宋体" w:cs="宋体"/>
                <w:sz w:val="24"/>
                <w:szCs w:val="24"/>
                <w:lang w:eastAsia="zh-CN"/>
              </w:rPr>
              <w:t>地</w:t>
            </w:r>
            <w:r>
              <w:rPr>
                <w:rFonts w:hint="eastAsia" w:ascii="宋体" w:hAnsi="宋体" w:eastAsia="宋体" w:cs="宋体"/>
                <w:sz w:val="24"/>
                <w:szCs w:val="24"/>
              </w:rPr>
              <w:t>指挥车辆按规定的路线行驶和停放，及时清理大门外其他社会车辆占道现象。按学校规定做好来访登记以及维持学校师生出入秩序。</w:t>
            </w:r>
          </w:p>
        </w:tc>
        <w:tc>
          <w:tcPr>
            <w:tcW w:w="123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6623EA7">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12</w:t>
            </w:r>
          </w:p>
        </w:tc>
        <w:tc>
          <w:tcPr>
            <w:tcW w:w="9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20A5F64">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两个校门三班倒，每个校门2人/班</w:t>
            </w:r>
          </w:p>
        </w:tc>
      </w:tr>
      <w:tr w14:paraId="0FB7C4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689B754">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c>
          <w:tcPr>
            <w:tcW w:w="805" w:type="dxa"/>
            <w:tcBorders>
              <w:top w:val="nil"/>
              <w:left w:val="single" w:color="000000" w:sz="4" w:space="0"/>
              <w:bottom w:val="single" w:color="000000" w:sz="4" w:space="0"/>
              <w:right w:val="single" w:color="000000" w:sz="4" w:space="0"/>
            </w:tcBorders>
            <w:vAlign w:val="center"/>
          </w:tcPr>
          <w:p w14:paraId="1C4B08E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巡逻岗</w:t>
            </w:r>
          </w:p>
        </w:tc>
        <w:tc>
          <w:tcPr>
            <w:tcW w:w="171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4B05F1D">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校园秩序管理</w:t>
            </w:r>
          </w:p>
        </w:tc>
        <w:tc>
          <w:tcPr>
            <w:tcW w:w="307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D3DC629">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负责落实日常秩序维护工作计划，合理 分配各岗位的工作量，经常性检查、监督在岗秩序维护人员的工作情况，及时 处理秩序维护值勤过程中的突发情况；按规定路线进行检查。维护区域内正常的秩序，检查全校安全管理制度的执行情况，加强重点要害部位的检查，预防、发现和制止各种干扰教学秩序的违法违规行为；负责学校暂未使用地块看管；员工培训以及工作器具的领用管理。</w:t>
            </w:r>
          </w:p>
        </w:tc>
        <w:tc>
          <w:tcPr>
            <w:tcW w:w="123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5E7D8A7">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4</w:t>
            </w:r>
          </w:p>
        </w:tc>
        <w:tc>
          <w:tcPr>
            <w:tcW w:w="9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AD4DEF9">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3班倒，每班1人，另增配1人应急管理。</w:t>
            </w:r>
          </w:p>
        </w:tc>
      </w:tr>
      <w:tr w14:paraId="5F2180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83481C9">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4</w:t>
            </w:r>
          </w:p>
        </w:tc>
        <w:tc>
          <w:tcPr>
            <w:tcW w:w="805" w:type="dxa"/>
            <w:tcBorders>
              <w:top w:val="nil"/>
              <w:left w:val="single" w:color="000000" w:sz="4" w:space="0"/>
              <w:bottom w:val="single" w:color="000000" w:sz="4" w:space="0"/>
              <w:right w:val="single" w:color="000000" w:sz="4" w:space="0"/>
            </w:tcBorders>
            <w:vAlign w:val="center"/>
          </w:tcPr>
          <w:p w14:paraId="4163F6D4">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消控室人员</w:t>
            </w:r>
          </w:p>
        </w:tc>
        <w:tc>
          <w:tcPr>
            <w:tcW w:w="171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300F1B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307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644E280">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负责学校消防中控室值守工作；</w:t>
            </w:r>
          </w:p>
        </w:tc>
        <w:tc>
          <w:tcPr>
            <w:tcW w:w="123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BB2221D">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c>
          <w:tcPr>
            <w:tcW w:w="9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BD395A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3班倒，每班1人</w:t>
            </w:r>
          </w:p>
        </w:tc>
      </w:tr>
      <w:tr w14:paraId="336CD1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24DC16C">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5598" w:type="dxa"/>
            <w:gridSpan w:val="3"/>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C020E65">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合计</w:t>
            </w:r>
          </w:p>
        </w:tc>
        <w:tc>
          <w:tcPr>
            <w:tcW w:w="123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5EF2172">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20</w:t>
            </w:r>
          </w:p>
        </w:tc>
        <w:tc>
          <w:tcPr>
            <w:tcW w:w="9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1E2C358">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r>
    </w:tbl>
    <w:p w14:paraId="70BD309B">
      <w:pPr>
        <w:pStyle w:val="4"/>
        <w:pageBreakBefore w:val="0"/>
        <w:kinsoku/>
        <w:wordWrap/>
        <w:overflowPunct/>
        <w:topLinePunct w:val="0"/>
        <w:autoSpaceDE/>
        <w:autoSpaceDN/>
        <w:bidi w:val="0"/>
        <w:adjustRightInd/>
        <w:snapToGrid/>
        <w:spacing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宿舍管理部</w:t>
      </w:r>
    </w:p>
    <w:tbl>
      <w:tblPr>
        <w:tblStyle w:val="10"/>
        <w:tblW w:w="857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914"/>
        <w:gridCol w:w="1595"/>
        <w:gridCol w:w="3096"/>
        <w:gridCol w:w="1200"/>
        <w:gridCol w:w="1036"/>
      </w:tblGrid>
      <w:tr w14:paraId="7CBFB2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blHeader/>
        </w:trPr>
        <w:tc>
          <w:tcPr>
            <w:tcW w:w="7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FE9229">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509"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39FF7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岗位及责任区域</w:t>
            </w:r>
          </w:p>
        </w:tc>
        <w:tc>
          <w:tcPr>
            <w:tcW w:w="309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097602">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岗位职责</w:t>
            </w:r>
          </w:p>
        </w:tc>
        <w:tc>
          <w:tcPr>
            <w:tcW w:w="120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00EA0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配置</w:t>
            </w:r>
          </w:p>
          <w:p w14:paraId="411F6E2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人数</w:t>
            </w:r>
          </w:p>
        </w:tc>
        <w:tc>
          <w:tcPr>
            <w:tcW w:w="103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D0C26D">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备注</w:t>
            </w:r>
          </w:p>
        </w:tc>
      </w:tr>
      <w:tr w14:paraId="320A7C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1358F9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914" w:type="dxa"/>
            <w:vMerge w:val="restart"/>
            <w:tcBorders>
              <w:top w:val="nil"/>
              <w:left w:val="single" w:color="000000" w:sz="4" w:space="0"/>
              <w:bottom w:val="nil"/>
              <w:right w:val="single" w:color="000000" w:sz="4" w:space="0"/>
            </w:tcBorders>
            <w:tcMar>
              <w:top w:w="0" w:type="dxa"/>
              <w:left w:w="0" w:type="dxa"/>
              <w:bottom w:w="0" w:type="dxa"/>
              <w:right w:w="0" w:type="dxa"/>
            </w:tcMar>
            <w:vAlign w:val="center"/>
          </w:tcPr>
          <w:p w14:paraId="5ED2E62D">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宿 管 员（含宿舍主管）</w:t>
            </w:r>
          </w:p>
        </w:tc>
        <w:tc>
          <w:tcPr>
            <w:tcW w:w="159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BD5476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学生宿舍1</w:t>
            </w:r>
          </w:p>
        </w:tc>
        <w:tc>
          <w:tcPr>
            <w:tcW w:w="3096" w:type="dxa"/>
            <w:vMerge w:val="restart"/>
            <w:tcBorders>
              <w:top w:val="nil"/>
              <w:left w:val="single" w:color="000000" w:sz="4" w:space="0"/>
              <w:bottom w:val="nil"/>
              <w:right w:val="single" w:color="000000" w:sz="4" w:space="0"/>
            </w:tcBorders>
            <w:tcMar>
              <w:top w:w="0" w:type="dxa"/>
              <w:left w:w="0" w:type="dxa"/>
              <w:bottom w:w="0" w:type="dxa"/>
              <w:right w:w="0" w:type="dxa"/>
            </w:tcMar>
            <w:vAlign w:val="center"/>
          </w:tcPr>
          <w:p w14:paraId="202037D2">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负责按时开放学生宿舍出入、点名清查人数。对来访人员进行问询登记。负责登记宿舍家具门窗等报修事项。配合学校领导和相关部门进行相关检查。每天早上检查每间宿舍卫生并评比记分（检查时需同时有2名宿管员）；每天检查学生是否在上课时间滞留宿舍；每天晚上夜寝前清点学生人数并落实未在位学生去向。</w:t>
            </w:r>
          </w:p>
        </w:tc>
        <w:tc>
          <w:tcPr>
            <w:tcW w:w="12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F0A362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6</w:t>
            </w:r>
          </w:p>
        </w:tc>
        <w:tc>
          <w:tcPr>
            <w:tcW w:w="1036"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15CB445E">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学生点名工作在需要增加人手的情况下，由管理处临时抽派人员支持完成。</w:t>
            </w:r>
          </w:p>
        </w:tc>
      </w:tr>
      <w:tr w14:paraId="4FA515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4C6C85C">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c>
          <w:tcPr>
            <w:tcW w:w="914" w:type="dxa"/>
            <w:vMerge w:val="continue"/>
            <w:tcBorders>
              <w:top w:val="nil"/>
              <w:left w:val="single" w:color="000000" w:sz="4" w:space="0"/>
              <w:bottom w:val="single" w:color="000000" w:sz="4" w:space="0"/>
              <w:right w:val="single" w:color="000000" w:sz="4" w:space="0"/>
            </w:tcBorders>
            <w:vAlign w:val="center"/>
          </w:tcPr>
          <w:p w14:paraId="49013515">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159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E5E414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学生宿舍2</w:t>
            </w:r>
          </w:p>
          <w:p w14:paraId="10FBABD9">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学生宿舍3</w:t>
            </w:r>
          </w:p>
          <w:p w14:paraId="3E7BA5E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学生宿舍4</w:t>
            </w:r>
          </w:p>
          <w:p w14:paraId="21FC4FE4">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宿舍B栋</w:t>
            </w:r>
          </w:p>
        </w:tc>
        <w:tc>
          <w:tcPr>
            <w:tcW w:w="3096" w:type="dxa"/>
            <w:vMerge w:val="continue"/>
            <w:tcBorders>
              <w:top w:val="nil"/>
              <w:left w:val="single" w:color="000000" w:sz="4" w:space="0"/>
              <w:bottom w:val="single" w:color="000000" w:sz="4" w:space="0"/>
              <w:right w:val="single" w:color="000000" w:sz="4" w:space="0"/>
            </w:tcBorders>
            <w:vAlign w:val="center"/>
          </w:tcPr>
          <w:p w14:paraId="6791B02C">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p>
        </w:tc>
        <w:tc>
          <w:tcPr>
            <w:tcW w:w="12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B2079B9">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12</w:t>
            </w:r>
          </w:p>
        </w:tc>
        <w:tc>
          <w:tcPr>
            <w:tcW w:w="1036"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07EAA413">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r>
      <w:tr w14:paraId="5E4957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0FABA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c>
          <w:tcPr>
            <w:tcW w:w="5605" w:type="dxa"/>
            <w:gridSpan w:val="3"/>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382C5C">
            <w:pPr>
              <w:pStyle w:val="4"/>
              <w:pageBreakBefore w:val="0"/>
              <w:kinsoku/>
              <w:wordWrap/>
              <w:overflowPunct/>
              <w:topLinePunct w:val="0"/>
              <w:autoSpaceDE/>
              <w:autoSpaceDN/>
              <w:bidi w:val="0"/>
              <w:adjustRightInd/>
              <w:snapToGrid/>
              <w:spacing w:before="0" w:after="0" w:line="360" w:lineRule="auto"/>
              <w:ind w:firstLine="0" w:firstLineChars="0"/>
              <w:jc w:val="left"/>
              <w:rPr>
                <w:rFonts w:hint="eastAsia" w:ascii="宋体" w:hAnsi="宋体" w:eastAsia="宋体" w:cs="宋体"/>
                <w:sz w:val="24"/>
                <w:szCs w:val="24"/>
              </w:rPr>
            </w:pPr>
            <w:r>
              <w:rPr>
                <w:rFonts w:hint="eastAsia" w:ascii="宋体" w:hAnsi="宋体" w:eastAsia="宋体" w:cs="宋体"/>
                <w:sz w:val="24"/>
                <w:szCs w:val="24"/>
              </w:rPr>
              <w:t>合计</w:t>
            </w:r>
          </w:p>
        </w:tc>
        <w:tc>
          <w:tcPr>
            <w:tcW w:w="12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3D0A9C6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18</w:t>
            </w:r>
          </w:p>
        </w:tc>
        <w:tc>
          <w:tcPr>
            <w:tcW w:w="103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B1F63ED">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p>
        </w:tc>
      </w:tr>
    </w:tbl>
    <w:p w14:paraId="3EB3C834">
      <w:pPr>
        <w:pStyle w:val="4"/>
        <w:pageBreakBefore w:val="0"/>
        <w:kinsoku/>
        <w:wordWrap/>
        <w:overflowPunct/>
        <w:topLinePunct w:val="0"/>
        <w:autoSpaceDE/>
        <w:autoSpaceDN/>
        <w:bidi w:val="0"/>
        <w:adjustRightInd/>
        <w:snapToGrid/>
        <w:spacing w:line="360" w:lineRule="auto"/>
        <w:ind w:firstLine="592"/>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内勤辅助人员</w:t>
      </w:r>
    </w:p>
    <w:tbl>
      <w:tblPr>
        <w:tblStyle w:val="10"/>
        <w:tblW w:w="8605"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1950"/>
        <w:gridCol w:w="3737"/>
        <w:gridCol w:w="1172"/>
        <w:gridCol w:w="1050"/>
      </w:tblGrid>
      <w:tr w14:paraId="1E5400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145161">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9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82AB97">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岗位及责任区域</w:t>
            </w:r>
          </w:p>
        </w:tc>
        <w:tc>
          <w:tcPr>
            <w:tcW w:w="37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FD7FEC">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岗位职责</w:t>
            </w:r>
          </w:p>
        </w:tc>
        <w:tc>
          <w:tcPr>
            <w:tcW w:w="1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9A593F">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配置人数</w:t>
            </w:r>
          </w:p>
        </w:tc>
        <w:tc>
          <w:tcPr>
            <w:tcW w:w="10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5E8654">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备注</w:t>
            </w:r>
          </w:p>
        </w:tc>
      </w:tr>
      <w:tr w14:paraId="2D9AF3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940EFB">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1950"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center"/>
          </w:tcPr>
          <w:p w14:paraId="260F757F">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领班</w:t>
            </w:r>
          </w:p>
        </w:tc>
        <w:tc>
          <w:tcPr>
            <w:tcW w:w="3737"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1A96FD56">
            <w:pPr>
              <w:pStyle w:val="4"/>
              <w:pageBreakBefore w:val="0"/>
              <w:kinsoku/>
              <w:wordWrap/>
              <w:overflowPunct/>
              <w:topLinePunct w:val="0"/>
              <w:autoSpaceDE/>
              <w:autoSpaceDN/>
              <w:bidi w:val="0"/>
              <w:adjustRightInd/>
              <w:snapToGrid/>
              <w:spacing w:before="0" w:after="0" w:line="360" w:lineRule="auto"/>
              <w:ind w:firstLine="0" w:firstLineChars="0"/>
              <w:rPr>
                <w:rFonts w:hint="eastAsia" w:ascii="宋体" w:hAnsi="宋体" w:eastAsia="宋体" w:cs="宋体"/>
                <w:sz w:val="24"/>
                <w:szCs w:val="24"/>
              </w:rPr>
            </w:pPr>
            <w:r>
              <w:rPr>
                <w:rFonts w:hint="eastAsia" w:ascii="宋体" w:hAnsi="宋体" w:eastAsia="宋体" w:cs="宋体"/>
                <w:sz w:val="24"/>
                <w:szCs w:val="24"/>
              </w:rPr>
              <w:t>负责统筹协调校内各类设备日常维护工作、学校总务交办事项</w:t>
            </w:r>
          </w:p>
        </w:tc>
        <w:tc>
          <w:tcPr>
            <w:tcW w:w="1172" w:type="dxa"/>
            <w:tcBorders>
              <w:top w:val="single" w:color="000000" w:sz="4" w:space="0"/>
              <w:left w:val="nil"/>
              <w:bottom w:val="nil"/>
              <w:right w:val="single" w:color="000000" w:sz="4" w:space="0"/>
            </w:tcBorders>
            <w:tcMar>
              <w:top w:w="0" w:type="dxa"/>
              <w:left w:w="0" w:type="dxa"/>
              <w:bottom w:w="0" w:type="dxa"/>
              <w:right w:w="0" w:type="dxa"/>
            </w:tcMar>
            <w:vAlign w:val="center"/>
          </w:tcPr>
          <w:p w14:paraId="2D817F0C">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1050"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5BF3A8AE">
            <w:pPr>
              <w:pStyle w:val="4"/>
              <w:pageBreakBefore w:val="0"/>
              <w:kinsoku/>
              <w:wordWrap/>
              <w:overflowPunct/>
              <w:topLinePunct w:val="0"/>
              <w:autoSpaceDE/>
              <w:autoSpaceDN/>
              <w:bidi w:val="0"/>
              <w:adjustRightInd/>
              <w:snapToGrid/>
              <w:spacing w:before="0" w:after="0" w:line="360" w:lineRule="auto"/>
              <w:ind w:firstLine="0" w:firstLineChars="0"/>
              <w:rPr>
                <w:rFonts w:hint="eastAsia" w:ascii="宋体" w:hAnsi="宋体" w:eastAsia="宋体" w:cs="宋体"/>
                <w:sz w:val="24"/>
                <w:szCs w:val="24"/>
              </w:rPr>
            </w:pPr>
          </w:p>
        </w:tc>
      </w:tr>
      <w:tr w14:paraId="23F343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C75A85F">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c>
          <w:tcPr>
            <w:tcW w:w="1950" w:type="dxa"/>
            <w:tcBorders>
              <w:top w:val="single" w:color="000000" w:sz="4" w:space="0"/>
              <w:left w:val="nil"/>
              <w:bottom w:val="single" w:color="000000" w:sz="4" w:space="0"/>
              <w:right w:val="single" w:color="000000" w:sz="4" w:space="0"/>
            </w:tcBorders>
            <w:vAlign w:val="center"/>
          </w:tcPr>
          <w:p w14:paraId="38C90999">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电工</w:t>
            </w:r>
          </w:p>
        </w:tc>
        <w:tc>
          <w:tcPr>
            <w:tcW w:w="3737" w:type="dxa"/>
            <w:tcBorders>
              <w:top w:val="single" w:color="000000" w:sz="4" w:space="0"/>
              <w:left w:val="nil"/>
              <w:bottom w:val="single" w:color="000000" w:sz="4" w:space="0"/>
              <w:right w:val="single" w:color="000000" w:sz="4" w:space="0"/>
            </w:tcBorders>
            <w:vAlign w:val="center"/>
          </w:tcPr>
          <w:p w14:paraId="1381F832">
            <w:pPr>
              <w:pStyle w:val="4"/>
              <w:pageBreakBefore w:val="0"/>
              <w:kinsoku/>
              <w:wordWrap/>
              <w:overflowPunct/>
              <w:topLinePunct w:val="0"/>
              <w:autoSpaceDE/>
              <w:autoSpaceDN/>
              <w:bidi w:val="0"/>
              <w:adjustRightInd/>
              <w:snapToGrid/>
              <w:spacing w:before="0" w:after="0" w:line="36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电气维护服务：协助学校电气设备的技术管理、检修和日常维护管理等工作以及学校总务科交办的其他相关任务。</w:t>
            </w:r>
          </w:p>
        </w:tc>
        <w:tc>
          <w:tcPr>
            <w:tcW w:w="1172" w:type="dxa"/>
            <w:tcBorders>
              <w:top w:val="single" w:color="000000" w:sz="4" w:space="0"/>
              <w:left w:val="nil"/>
              <w:bottom w:val="nil"/>
              <w:right w:val="single" w:color="auto" w:sz="4" w:space="0"/>
            </w:tcBorders>
            <w:vAlign w:val="center"/>
          </w:tcPr>
          <w:p w14:paraId="7C1B3FD2">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c>
          <w:tcPr>
            <w:tcW w:w="1050" w:type="dxa"/>
            <w:tcBorders>
              <w:top w:val="single" w:color="auto" w:sz="4" w:space="0"/>
              <w:left w:val="single" w:color="auto" w:sz="4" w:space="0"/>
              <w:bottom w:val="single" w:color="auto" w:sz="4" w:space="0"/>
              <w:right w:val="single" w:color="auto" w:sz="4" w:space="0"/>
            </w:tcBorders>
            <w:vAlign w:val="center"/>
          </w:tcPr>
          <w:p w14:paraId="3C6C5B31">
            <w:pPr>
              <w:pStyle w:val="4"/>
              <w:pageBreakBefore w:val="0"/>
              <w:kinsoku/>
              <w:wordWrap/>
              <w:overflowPunct/>
              <w:topLinePunct w:val="0"/>
              <w:autoSpaceDE/>
              <w:autoSpaceDN/>
              <w:bidi w:val="0"/>
              <w:adjustRightInd/>
              <w:snapToGrid/>
              <w:spacing w:before="0" w:after="0" w:line="360" w:lineRule="auto"/>
              <w:ind w:firstLine="0" w:firstLineChars="0"/>
              <w:rPr>
                <w:rFonts w:hint="eastAsia" w:ascii="宋体" w:hAnsi="宋体" w:eastAsia="宋体" w:cs="宋体"/>
                <w:sz w:val="24"/>
                <w:szCs w:val="24"/>
              </w:rPr>
            </w:pPr>
          </w:p>
        </w:tc>
      </w:tr>
      <w:tr w14:paraId="694799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65FA11D">
            <w:pPr>
              <w:pStyle w:val="4"/>
              <w:pageBreakBefore w:val="0"/>
              <w:kinsoku/>
              <w:wordWrap/>
              <w:overflowPunct/>
              <w:topLinePunct w:val="0"/>
              <w:autoSpaceDE/>
              <w:autoSpaceDN/>
              <w:bidi w:val="0"/>
              <w:adjustRightInd/>
              <w:snapToGrid/>
              <w:spacing w:before="0" w:after="0" w:line="360" w:lineRule="auto"/>
              <w:ind w:firstLine="0" w:firstLineChars="0"/>
              <w:rPr>
                <w:rFonts w:hint="eastAsia" w:ascii="宋体" w:hAnsi="宋体" w:eastAsia="宋体" w:cs="宋体"/>
                <w:sz w:val="24"/>
                <w:szCs w:val="24"/>
              </w:rPr>
            </w:pPr>
          </w:p>
        </w:tc>
        <w:tc>
          <w:tcPr>
            <w:tcW w:w="5687"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5DB49E24">
            <w:pPr>
              <w:pStyle w:val="4"/>
              <w:pageBreakBefore w:val="0"/>
              <w:kinsoku/>
              <w:wordWrap/>
              <w:overflowPunct/>
              <w:topLinePunct w:val="0"/>
              <w:autoSpaceDE/>
              <w:autoSpaceDN/>
              <w:bidi w:val="0"/>
              <w:adjustRightInd/>
              <w:snapToGrid/>
              <w:spacing w:before="0" w:after="0" w:line="360" w:lineRule="auto"/>
              <w:ind w:firstLine="0" w:firstLineChars="0"/>
              <w:rPr>
                <w:rFonts w:hint="eastAsia" w:ascii="宋体" w:hAnsi="宋体" w:eastAsia="宋体" w:cs="宋体"/>
                <w:sz w:val="24"/>
                <w:szCs w:val="24"/>
              </w:rPr>
            </w:pPr>
            <w:r>
              <w:rPr>
                <w:rFonts w:hint="eastAsia" w:ascii="宋体" w:hAnsi="宋体" w:eastAsia="宋体" w:cs="宋体"/>
                <w:sz w:val="24"/>
                <w:szCs w:val="24"/>
              </w:rPr>
              <w:t>合计</w:t>
            </w:r>
          </w:p>
        </w:tc>
        <w:tc>
          <w:tcPr>
            <w:tcW w:w="1172" w:type="dxa"/>
            <w:tcBorders>
              <w:top w:val="single" w:color="000000" w:sz="4" w:space="0"/>
              <w:left w:val="single" w:color="000000" w:sz="4" w:space="0"/>
              <w:bottom w:val="single" w:color="000000" w:sz="4" w:space="0"/>
              <w:right w:val="single" w:color="auto" w:sz="4" w:space="0"/>
            </w:tcBorders>
            <w:tcMar>
              <w:top w:w="0" w:type="dxa"/>
              <w:left w:w="0" w:type="dxa"/>
              <w:bottom w:w="0" w:type="dxa"/>
              <w:right w:w="0" w:type="dxa"/>
            </w:tcMar>
            <w:vAlign w:val="center"/>
          </w:tcPr>
          <w:p w14:paraId="7523A54A">
            <w:pPr>
              <w:pStyle w:val="4"/>
              <w:pageBreakBefore w:val="0"/>
              <w:kinsoku/>
              <w:wordWrap/>
              <w:overflowPunct/>
              <w:topLinePunct w:val="0"/>
              <w:autoSpaceDE/>
              <w:autoSpaceDN/>
              <w:bidi w:val="0"/>
              <w:adjustRightInd/>
              <w:snapToGrid/>
              <w:spacing w:before="0" w:after="0"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4</w:t>
            </w:r>
          </w:p>
        </w:tc>
        <w:tc>
          <w:tcPr>
            <w:tcW w:w="105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388FC65">
            <w:pPr>
              <w:pStyle w:val="4"/>
              <w:pageBreakBefore w:val="0"/>
              <w:kinsoku/>
              <w:wordWrap/>
              <w:overflowPunct/>
              <w:topLinePunct w:val="0"/>
              <w:autoSpaceDE/>
              <w:autoSpaceDN/>
              <w:bidi w:val="0"/>
              <w:adjustRightInd/>
              <w:snapToGrid/>
              <w:spacing w:before="0" w:after="0" w:line="360" w:lineRule="auto"/>
              <w:ind w:firstLine="0" w:firstLineChars="0"/>
              <w:rPr>
                <w:rFonts w:hint="eastAsia" w:ascii="宋体" w:hAnsi="宋体" w:eastAsia="宋体" w:cs="宋体"/>
                <w:sz w:val="24"/>
                <w:szCs w:val="24"/>
              </w:rPr>
            </w:pPr>
          </w:p>
        </w:tc>
      </w:tr>
    </w:tbl>
    <w:p w14:paraId="75764B76">
      <w:pPr>
        <w:pStyle w:val="4"/>
        <w:pageBreakBefore w:val="0"/>
        <w:kinsoku/>
        <w:wordWrap/>
        <w:overflowPunct/>
        <w:topLinePunct w:val="0"/>
        <w:autoSpaceDE/>
        <w:autoSpaceDN/>
        <w:bidi w:val="0"/>
        <w:adjustRightInd/>
        <w:snapToGrid/>
        <w:spacing w:before="0" w:after="0" w:line="360" w:lineRule="auto"/>
        <w:ind w:firstLine="592"/>
        <w:contextualSpacing/>
        <w:rPr>
          <w:rFonts w:hint="eastAsia" w:ascii="宋体" w:hAnsi="宋体" w:eastAsia="宋体" w:cs="宋体"/>
          <w:sz w:val="24"/>
          <w:szCs w:val="24"/>
        </w:rPr>
      </w:pPr>
      <w:r>
        <w:rPr>
          <w:rFonts w:hint="eastAsia" w:ascii="宋体" w:hAnsi="宋体" w:eastAsia="宋体" w:cs="宋体"/>
          <w:sz w:val="24"/>
          <w:szCs w:val="24"/>
        </w:rPr>
        <w:t>（二）人员要求</w:t>
      </w:r>
    </w:p>
    <w:p w14:paraId="567C9E3D">
      <w:pPr>
        <w:pStyle w:val="4"/>
        <w:pageBreakBefore w:val="0"/>
        <w:kinsoku/>
        <w:wordWrap/>
        <w:overflowPunct/>
        <w:topLinePunct w:val="0"/>
        <w:autoSpaceDE/>
        <w:autoSpaceDN/>
        <w:bidi w:val="0"/>
        <w:adjustRightInd/>
        <w:snapToGrid/>
        <w:spacing w:before="0" w:after="0" w:line="360" w:lineRule="auto"/>
        <w:ind w:firstLine="592"/>
        <w:contextualSpacing/>
        <w:rPr>
          <w:rFonts w:hint="eastAsia" w:ascii="宋体" w:hAnsi="宋体" w:eastAsia="宋体" w:cs="宋体"/>
          <w:sz w:val="24"/>
          <w:szCs w:val="24"/>
        </w:rPr>
      </w:pPr>
      <w:r>
        <w:rPr>
          <w:rFonts w:hint="eastAsia" w:ascii="宋体" w:hAnsi="宋体" w:eastAsia="宋体" w:cs="宋体"/>
          <w:sz w:val="24"/>
          <w:szCs w:val="24"/>
          <w:lang w:eastAsia="zh-CN"/>
        </w:rPr>
        <w:t>1.中标人</w:t>
      </w:r>
      <w:r>
        <w:rPr>
          <w:rFonts w:hint="eastAsia" w:ascii="宋体" w:hAnsi="宋体" w:eastAsia="宋体" w:cs="宋体"/>
          <w:sz w:val="24"/>
          <w:szCs w:val="24"/>
        </w:rPr>
        <w:t>须确保每个具体岗位都有固定的人员数量，并负责员工的工资、福利、培训、社保、工服费用，承担法律规定用工单位应承担的一切法律责任和经济责任。聘用的员工应身心健康，无患传染性疾病，没有违法犯罪记录，并具备履行相关职责的能力。特种作业人员需经过专业培训，按国家规定持证上岗。</w:t>
      </w:r>
    </w:p>
    <w:p w14:paraId="71C5C0C1">
      <w:pPr>
        <w:pStyle w:val="4"/>
        <w:pageBreakBefore w:val="0"/>
        <w:kinsoku/>
        <w:wordWrap/>
        <w:overflowPunct/>
        <w:topLinePunct w:val="0"/>
        <w:autoSpaceDE/>
        <w:autoSpaceDN/>
        <w:bidi w:val="0"/>
        <w:adjustRightInd/>
        <w:snapToGrid/>
        <w:spacing w:before="0" w:after="0" w:line="360" w:lineRule="auto"/>
        <w:ind w:firstLine="592"/>
        <w:contextualSpacing/>
        <w:rPr>
          <w:rFonts w:hint="eastAsia" w:ascii="宋体" w:hAnsi="宋体" w:eastAsia="宋体" w:cs="宋体"/>
          <w:sz w:val="24"/>
          <w:szCs w:val="24"/>
        </w:rPr>
      </w:pPr>
      <w:r>
        <w:rPr>
          <w:rFonts w:hint="eastAsia" w:ascii="宋体" w:hAnsi="宋体" w:eastAsia="宋体" w:cs="宋体"/>
          <w:sz w:val="24"/>
          <w:szCs w:val="24"/>
          <w:lang w:eastAsia="zh-CN"/>
        </w:rPr>
        <w:t>2.中标人</w:t>
      </w:r>
      <w:r>
        <w:rPr>
          <w:rFonts w:hint="eastAsia" w:ascii="宋体" w:hAnsi="宋体" w:eastAsia="宋体" w:cs="宋体"/>
          <w:sz w:val="24"/>
          <w:szCs w:val="24"/>
        </w:rPr>
        <w:t>必须将其聘用人员相关资料报学校备案，人员变动时应及时提交更新资料。人员数量不得低于后勤管理服务人员最低数量配置的要求，在服务过程中应保持人员如数到位并每月向</w:t>
      </w:r>
      <w:r>
        <w:rPr>
          <w:rFonts w:hint="eastAsia" w:ascii="宋体" w:hAnsi="宋体" w:eastAsia="宋体" w:cs="宋体"/>
          <w:sz w:val="24"/>
          <w:szCs w:val="24"/>
          <w:lang w:val="en-US" w:eastAsia="zh-CN"/>
        </w:rPr>
        <w:t>学校</w:t>
      </w:r>
      <w:r>
        <w:rPr>
          <w:rFonts w:hint="eastAsia" w:ascii="宋体" w:hAnsi="宋体" w:eastAsia="宋体" w:cs="宋体"/>
          <w:sz w:val="24"/>
          <w:szCs w:val="24"/>
        </w:rPr>
        <w:t>提交人员签到佐证材料。若人数不足，</w:t>
      </w:r>
      <w:r>
        <w:rPr>
          <w:rFonts w:hint="eastAsia" w:ascii="宋体" w:hAnsi="宋体" w:eastAsia="宋体" w:cs="宋体"/>
          <w:sz w:val="24"/>
          <w:szCs w:val="24"/>
          <w:lang w:val="en-US" w:eastAsia="zh-CN"/>
        </w:rPr>
        <w:t>学校</w:t>
      </w:r>
      <w:r>
        <w:rPr>
          <w:rFonts w:hint="eastAsia" w:ascii="宋体" w:hAnsi="宋体" w:eastAsia="宋体" w:cs="宋体"/>
          <w:sz w:val="24"/>
          <w:szCs w:val="24"/>
        </w:rPr>
        <w:t>有权在当月后勤管理服务费中按人员工资扣除不足部分的费用。内勤辅助人员根据</w:t>
      </w:r>
      <w:r>
        <w:rPr>
          <w:rFonts w:hint="eastAsia" w:ascii="宋体" w:hAnsi="宋体" w:eastAsia="宋体" w:cs="宋体"/>
          <w:sz w:val="24"/>
          <w:szCs w:val="24"/>
          <w:lang w:val="en-US" w:eastAsia="zh-CN"/>
        </w:rPr>
        <w:t>学校</w:t>
      </w:r>
      <w:r>
        <w:rPr>
          <w:rFonts w:hint="eastAsia" w:ascii="宋体" w:hAnsi="宋体" w:eastAsia="宋体" w:cs="宋体"/>
          <w:sz w:val="24"/>
          <w:szCs w:val="24"/>
        </w:rPr>
        <w:t>具体需求配置，若内勤辅助人员实际配置数量低于采购人数配置的，双方可通过协议约定核减后勤管理服务费。为确保</w:t>
      </w:r>
      <w:r>
        <w:rPr>
          <w:rFonts w:hint="eastAsia" w:ascii="宋体" w:hAnsi="宋体" w:eastAsia="宋体" w:cs="宋体"/>
          <w:sz w:val="24"/>
          <w:szCs w:val="24"/>
          <w:lang w:eastAsia="zh-CN"/>
        </w:rPr>
        <w:t>中标人</w:t>
      </w:r>
      <w:r>
        <w:rPr>
          <w:rFonts w:hint="eastAsia" w:ascii="宋体" w:hAnsi="宋体" w:eastAsia="宋体" w:cs="宋体"/>
          <w:sz w:val="24"/>
          <w:szCs w:val="24"/>
        </w:rPr>
        <w:t>关键部位人员素质，</w:t>
      </w:r>
      <w:r>
        <w:rPr>
          <w:rFonts w:hint="eastAsia" w:ascii="宋体" w:hAnsi="宋体" w:eastAsia="宋体" w:cs="宋体"/>
          <w:sz w:val="24"/>
          <w:szCs w:val="24"/>
          <w:lang w:val="en-US" w:eastAsia="zh-CN"/>
        </w:rPr>
        <w:t>学校</w:t>
      </w:r>
      <w:r>
        <w:rPr>
          <w:rFonts w:hint="eastAsia" w:ascii="宋体" w:hAnsi="宋体" w:eastAsia="宋体" w:cs="宋体"/>
          <w:sz w:val="24"/>
          <w:szCs w:val="24"/>
        </w:rPr>
        <w:t>在招录、裁减或更换人员前要与</w:t>
      </w:r>
      <w:r>
        <w:rPr>
          <w:rFonts w:hint="eastAsia" w:ascii="宋体" w:hAnsi="宋体" w:eastAsia="宋体" w:cs="宋体"/>
          <w:sz w:val="24"/>
          <w:szCs w:val="24"/>
          <w:lang w:eastAsia="zh-CN"/>
        </w:rPr>
        <w:t>中标人</w:t>
      </w:r>
      <w:r>
        <w:rPr>
          <w:rFonts w:hint="eastAsia" w:ascii="宋体" w:hAnsi="宋体" w:eastAsia="宋体" w:cs="宋体"/>
          <w:sz w:val="24"/>
          <w:szCs w:val="24"/>
        </w:rPr>
        <w:t>协商确认，其中秩序维护人员应优先招录退伍兵。所有人员应按行业要求进行体检。</w:t>
      </w:r>
    </w:p>
    <w:p w14:paraId="7048057C">
      <w:pPr>
        <w:pStyle w:val="4"/>
        <w:pageBreakBefore w:val="0"/>
        <w:kinsoku/>
        <w:wordWrap/>
        <w:overflowPunct/>
        <w:topLinePunct w:val="0"/>
        <w:autoSpaceDE/>
        <w:autoSpaceDN/>
        <w:bidi w:val="0"/>
        <w:adjustRightInd/>
        <w:snapToGrid/>
        <w:spacing w:before="0" w:after="0" w:line="360" w:lineRule="auto"/>
        <w:ind w:firstLine="592"/>
        <w:contextualSpacing/>
        <w:rPr>
          <w:rFonts w:hint="eastAsia" w:ascii="宋体" w:hAnsi="宋体" w:eastAsia="宋体" w:cs="宋体"/>
          <w:sz w:val="24"/>
          <w:szCs w:val="24"/>
        </w:rPr>
      </w:pPr>
      <w:r>
        <w:rPr>
          <w:rFonts w:hint="eastAsia" w:ascii="宋体" w:hAnsi="宋体" w:eastAsia="宋体" w:cs="宋体"/>
          <w:sz w:val="24"/>
          <w:szCs w:val="24"/>
          <w:lang w:eastAsia="zh-CN"/>
        </w:rPr>
        <w:t>3.中标人</w:t>
      </w:r>
      <w:r>
        <w:rPr>
          <w:rFonts w:hint="eastAsia" w:ascii="宋体" w:hAnsi="宋体" w:eastAsia="宋体" w:cs="宋体"/>
          <w:sz w:val="24"/>
          <w:szCs w:val="24"/>
        </w:rPr>
        <w:t>使用的服装、日常生活用品、办公用品、环卫器具等均由</w:t>
      </w:r>
      <w:r>
        <w:rPr>
          <w:rFonts w:hint="eastAsia" w:ascii="宋体" w:hAnsi="宋体" w:eastAsia="宋体" w:cs="宋体"/>
          <w:sz w:val="24"/>
          <w:szCs w:val="24"/>
          <w:lang w:eastAsia="zh-CN"/>
        </w:rPr>
        <w:t>中标人</w:t>
      </w:r>
      <w:r>
        <w:rPr>
          <w:rFonts w:hint="eastAsia" w:ascii="宋体" w:hAnsi="宋体" w:eastAsia="宋体" w:cs="宋体"/>
          <w:sz w:val="24"/>
          <w:szCs w:val="24"/>
        </w:rPr>
        <w:t>负责。</w:t>
      </w:r>
    </w:p>
    <w:p w14:paraId="15462D83">
      <w:pPr>
        <w:pStyle w:val="4"/>
        <w:pageBreakBefore w:val="0"/>
        <w:kinsoku/>
        <w:wordWrap/>
        <w:overflowPunct/>
        <w:topLinePunct w:val="0"/>
        <w:autoSpaceDE/>
        <w:autoSpaceDN/>
        <w:bidi w:val="0"/>
        <w:adjustRightInd/>
        <w:snapToGrid/>
        <w:spacing w:before="0" w:after="0" w:line="360" w:lineRule="auto"/>
        <w:ind w:firstLine="592"/>
        <w:contextualSpacing/>
        <w:rPr>
          <w:rFonts w:hint="eastAsia" w:ascii="宋体" w:hAnsi="宋体" w:eastAsia="宋体" w:cs="宋体"/>
          <w:sz w:val="24"/>
          <w:szCs w:val="24"/>
        </w:rPr>
      </w:pPr>
    </w:p>
    <w:p w14:paraId="3724E290">
      <w:pPr>
        <w:keepNext w:val="0"/>
        <w:keepLines w:val="0"/>
        <w:pageBreakBefore w:val="0"/>
        <w:kinsoku/>
        <w:wordWrap/>
        <w:overflowPunct/>
        <w:topLinePunct w:val="0"/>
        <w:autoSpaceDE/>
        <w:autoSpaceDN/>
        <w:bidi w:val="0"/>
        <w:adjustRightInd/>
        <w:snapToGrid/>
        <w:spacing w:line="360" w:lineRule="auto"/>
        <w:ind w:left="0" w:leftChars="0"/>
        <w:rPr>
          <w:rFonts w:hint="eastAsia" w:ascii="宋体" w:hAnsi="宋体" w:eastAsia="宋体" w:cs="宋体"/>
          <w:color w:val="auto"/>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7236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F6D3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2F6D3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4739B1"/>
    <w:multiLevelType w:val="multilevel"/>
    <w:tmpl w:val="554739B1"/>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iYjE0YjU0MmE5MzVkZTUzYWRhMTQwMzk1Y2QxNzIifQ=="/>
    <w:docVar w:name="KSO_WPS_MARK_KEY" w:val="af3fd09e-f4c4-4186-bd18-62b284b5c8fe"/>
  </w:docVars>
  <w:rsids>
    <w:rsidRoot w:val="22F27850"/>
    <w:rsid w:val="030C1190"/>
    <w:rsid w:val="07BF52C3"/>
    <w:rsid w:val="0C394043"/>
    <w:rsid w:val="0C425451"/>
    <w:rsid w:val="11EE5A02"/>
    <w:rsid w:val="11F052D6"/>
    <w:rsid w:val="15CE02EC"/>
    <w:rsid w:val="15F31839"/>
    <w:rsid w:val="1844104C"/>
    <w:rsid w:val="18F908E8"/>
    <w:rsid w:val="1B272088"/>
    <w:rsid w:val="1ED57D2E"/>
    <w:rsid w:val="1F4D7D7D"/>
    <w:rsid w:val="22F27850"/>
    <w:rsid w:val="28FC4AED"/>
    <w:rsid w:val="29F62BE9"/>
    <w:rsid w:val="2B095373"/>
    <w:rsid w:val="2F0C15CB"/>
    <w:rsid w:val="36611D63"/>
    <w:rsid w:val="3ED02643"/>
    <w:rsid w:val="40A90075"/>
    <w:rsid w:val="44EB1A96"/>
    <w:rsid w:val="4754238B"/>
    <w:rsid w:val="4A510301"/>
    <w:rsid w:val="4E4A6AFE"/>
    <w:rsid w:val="4F2942BF"/>
    <w:rsid w:val="4FDC127F"/>
    <w:rsid w:val="53C73E25"/>
    <w:rsid w:val="557D0576"/>
    <w:rsid w:val="55DF0EB7"/>
    <w:rsid w:val="57146A4B"/>
    <w:rsid w:val="5CE24DE9"/>
    <w:rsid w:val="5EFB7FA3"/>
    <w:rsid w:val="615F1990"/>
    <w:rsid w:val="637233AA"/>
    <w:rsid w:val="642811C0"/>
    <w:rsid w:val="644C3BBB"/>
    <w:rsid w:val="64F25B10"/>
    <w:rsid w:val="6B673089"/>
    <w:rsid w:val="73C6500C"/>
    <w:rsid w:val="76225A86"/>
    <w:rsid w:val="79176627"/>
    <w:rsid w:val="7BF02C26"/>
    <w:rsid w:val="7EF944E8"/>
    <w:rsid w:val="7F8D24DE"/>
    <w:rsid w:val="7FB87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rFonts w:ascii="Times New Roman" w:hAnsi="Times New Roman" w:eastAsia="宋体" w:cs="Times New Roman"/>
      <w:b/>
      <w:bCs/>
      <w:kern w:val="44"/>
      <w:sz w:val="44"/>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99"/>
    <w:rPr>
      <w:rFonts w:ascii="Times New Roman" w:hAnsi="Times New Roman"/>
    </w:rPr>
  </w:style>
  <w:style w:type="paragraph" w:styleId="5">
    <w:name w:val="toc 5"/>
    <w:basedOn w:val="1"/>
    <w:next w:val="1"/>
    <w:qFormat/>
    <w:uiPriority w:val="0"/>
    <w:pPr>
      <w:ind w:left="840"/>
      <w:jc w:val="left"/>
    </w:pPr>
    <w:rPr>
      <w:rFonts w:ascii="Calibri" w:hAnsi="Calibri" w:eastAsia="宋体" w:cs="Times New Roman"/>
      <w:sz w:val="18"/>
      <w:szCs w:val="18"/>
    </w:rPr>
  </w:style>
  <w:style w:type="paragraph" w:styleId="6">
    <w:name w:val="Plain Text"/>
    <w:basedOn w:val="1"/>
    <w:qFormat/>
    <w:uiPriority w:val="0"/>
    <w:rPr>
      <w:rFonts w:ascii="宋体" w:hAnsi="Courier New"/>
      <w:szCs w:val="2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basedOn w:val="1"/>
    <w:qFormat/>
    <w:uiPriority w:val="0"/>
    <w:pPr>
      <w:jc w:val="center"/>
    </w:pPr>
    <w:rPr>
      <w:b/>
      <w:sz w:val="24"/>
      <w:szCs w:val="2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styleId="14">
    <w:name w:val="annotation reference"/>
    <w:basedOn w:val="12"/>
    <w:qFormat/>
    <w:uiPriority w:val="0"/>
    <w:rPr>
      <w:sz w:val="21"/>
      <w:szCs w:val="21"/>
    </w:rPr>
  </w:style>
  <w:style w:type="paragraph" w:styleId="15">
    <w:name w:val="List Paragraph"/>
    <w:basedOn w:val="1"/>
    <w:qFormat/>
    <w:uiPriority w:val="34"/>
    <w:pPr>
      <w:ind w:firstLine="420" w:firstLineChars="200"/>
    </w:pPr>
    <w:rPr>
      <w:rFonts w:ascii="Calibri" w:hAnsi="Calibri" w:eastAsia="宋体"/>
    </w:rPr>
  </w:style>
  <w:style w:type="character" w:customStyle="1" w:styleId="16">
    <w:name w:val="font51"/>
    <w:basedOn w:val="12"/>
    <w:qFormat/>
    <w:uiPriority w:val="0"/>
    <w:rPr>
      <w:rFonts w:ascii="宋体" w:hAnsi="宋体" w:eastAsia="宋体" w:cs="宋体"/>
      <w:color w:val="000000"/>
      <w:sz w:val="24"/>
      <w:szCs w:val="24"/>
      <w:u w:val="none"/>
    </w:rPr>
  </w:style>
  <w:style w:type="character" w:customStyle="1" w:styleId="17">
    <w:name w:val="font41"/>
    <w:basedOn w:val="12"/>
    <w:qFormat/>
    <w:uiPriority w:val="0"/>
    <w:rPr>
      <w:rFonts w:hint="default" w:ascii="Arial" w:hAnsi="Arial" w:cs="Arial"/>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3864</Words>
  <Characters>4198</Characters>
  <Lines>0</Lines>
  <Paragraphs>0</Paragraphs>
  <TotalTime>4</TotalTime>
  <ScaleCrop>false</ScaleCrop>
  <LinksUpToDate>false</LinksUpToDate>
  <CharactersWithSpaces>4211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2023-11-12T04:15:00Z</dcterms:created>
  <dc:creator>咨询</dc:creator>
  <cp:lastModifiedBy>咨询</cp:lastModifiedBy>
  <dcterms:modified xsi:type="dcterms:W3CDTF">2026-07-12T04:47:29Z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5AE6080ED98D45C5B03C846AFB3C7CF8_13</vt:lpwstr>
  </property>
  <property fmtid="{D5CDD505-2E9C-101B-9397-08002B2CF9AE}" pid="4" name="KSOTemplateDocerSaveRecord">
    <vt:lpwstr>eyJoZGlkIjoiZjg4OWFiM2M3NzczNWE3ZDYyMmVlMzdhOTExODI0YTUiLCJ1c2VySWQiOiI0MDk3Mzc5MTQifQ==</vt:lpwstr>
  </property>
</Properties>
</file>